
<file path=[Content_Types].xml><?xml version="1.0" encoding="utf-8"?>
<Types xmlns="http://schemas.openxmlformats.org/package/2006/content-types">
  <Override PartName="/docProps/core.xml" ContentType="application/vnd.openxmlformats-package.core-properties+xml"/>
  <Override PartName="/word/settings.xml" ContentType="application/vnd.openxmlformats-officedocument.wordprocessingml.settings+xml"/>
  <Default Extension="xml" ContentType="application/xml"/>
  <Override PartName="/word/footer1.xml" ContentType="application/vnd.openxmlformats-officedocument.wordprocessingml.footer+xml"/>
  <Override PartName="/word/document.xml" ContentType="application/vnd.openxmlformats-officedocument.wordprocessingml.document.main+xml"/>
  <Override PartName="/docProps/app.xml" ContentType="application/vnd.openxmlformats-officedocument.extended-properties+xml"/>
  <Default Extension="bin" ContentType="application/vnd.openxmlformats-officedocument.wordprocessingml.printerSettings"/>
  <Override PartName="/word/fontTable.xml" ContentType="application/vnd.openxmlformats-officedocument.wordprocessingml.fontTable+xml"/>
  <Default Extension="rels" ContentType="application/vnd.openxmlformats-package.relationships+xml"/>
  <Override PartName="/word/styles.xml" ContentType="application/vnd.openxmlformats-officedocument.wordprocessingml.styles+xml"/>
  <Override PartName="/word/webSettings.xml" ContentType="application/vnd.openxmlformats-officedocument.wordprocessingml.webSettings+xml"/>
  <Override PartName="/word/header1.xml" ContentType="application/vnd.openxmlformats-officedocument.wordprocessingml.header+xml"/>
  <Override PartName="/word/numbering.xml" ContentType="application/vnd.openxmlformats-officedocument.wordprocessingml.numbering+xml"/>
  <Override PartName="/word/theme/theme1.xml" ContentType="application/vnd.openxmlformats-officedocument.theme+xml"/>
  <Default Extension="jpeg" ContentType="image/jpeg"/>
</Types>
</file>

<file path=_rels/.rels><?xml version="1.0" encoding="UTF-8" standalone="yes"?>
<Relationships xmlns="http://schemas.openxmlformats.org/package/2006/relationships"><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 Id="rId3" Type="http://schemas.openxmlformats.org/package/2006/relationships/metadata/core-properties" Target="docProps/core.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526A" w:rsidRPr="00A154B0" w:rsidRDefault="00A8526A" w:rsidP="00A8526A">
      <w:pPr>
        <w:rPr>
          <w:rFonts w:ascii="Arial" w:hAnsi="Arial"/>
        </w:rPr>
      </w:pPr>
      <w:r w:rsidRPr="00A154B0">
        <w:rPr>
          <w:rFonts w:ascii="Arial" w:hAnsi="Arial" w:cs="Times"/>
          <w:b/>
          <w:bCs/>
          <w:color w:val="333333"/>
          <w:szCs w:val="28"/>
          <w:lang w:val="en-US"/>
        </w:rPr>
        <w:t>Proceed</w:t>
      </w:r>
    </w:p>
    <w:tbl>
      <w:tblPr>
        <w:tblW w:w="13716" w:type="dxa"/>
        <w:tblBorders>
          <w:left w:val="nil"/>
          <w:right w:val="nil"/>
        </w:tblBorders>
        <w:tblLayout w:type="fixed"/>
        <w:tblLook w:val="0000"/>
      </w:tblPr>
      <w:tblGrid>
        <w:gridCol w:w="959"/>
        <w:gridCol w:w="7654"/>
        <w:gridCol w:w="2835"/>
        <w:gridCol w:w="2268"/>
      </w:tblGrid>
      <w:tr w:rsidR="00A8526A" w:rsidRPr="00A154B0">
        <w:tc>
          <w:tcPr>
            <w:tcW w:w="959" w:type="dxa"/>
            <w:tcBorders>
              <w:top w:val="single" w:sz="8" w:space="0" w:color="999999"/>
              <w:bottom w:val="single" w:sz="8" w:space="0" w:color="999999"/>
            </w:tcBorders>
            <w:tcMar>
              <w:top w:w="140" w:type="nil"/>
              <w:left w:w="100" w:type="nil"/>
              <w:bottom w:w="100" w:type="nil"/>
              <w:right w:w="140" w:type="nil"/>
            </w:tcMar>
          </w:tcPr>
          <w:p w:rsidR="00A8526A" w:rsidRPr="00A154B0" w:rsidRDefault="00A8526A">
            <w:pPr>
              <w:widowControl w:val="0"/>
              <w:autoSpaceDE w:val="0"/>
              <w:autoSpaceDN w:val="0"/>
              <w:adjustRightInd w:val="0"/>
              <w:spacing w:after="0" w:line="320" w:lineRule="atLeast"/>
              <w:rPr>
                <w:rFonts w:ascii="Arial" w:hAnsi="Arial" w:cs="Times"/>
                <w:b/>
                <w:bCs/>
                <w:color w:val="333333"/>
                <w:szCs w:val="28"/>
                <w:lang w:val="en-US"/>
              </w:rPr>
            </w:pPr>
            <w:r w:rsidRPr="00A154B0">
              <w:rPr>
                <w:rFonts w:ascii="Arial" w:hAnsi="Arial" w:cs="Times"/>
                <w:b/>
                <w:bCs/>
                <w:color w:val="333333"/>
                <w:szCs w:val="28"/>
                <w:lang w:val="en-US"/>
              </w:rPr>
              <w:t>Item</w:t>
            </w:r>
          </w:p>
        </w:tc>
        <w:tc>
          <w:tcPr>
            <w:tcW w:w="7654" w:type="dxa"/>
            <w:tcBorders>
              <w:top w:val="single" w:sz="8" w:space="0" w:color="999999"/>
              <w:bottom w:val="single" w:sz="8" w:space="0" w:color="999999"/>
            </w:tcBorders>
            <w:tcMar>
              <w:top w:w="140" w:type="nil"/>
              <w:left w:w="100" w:type="nil"/>
              <w:bottom w:w="100" w:type="nil"/>
              <w:right w:w="140" w:type="nil"/>
            </w:tcMar>
          </w:tcPr>
          <w:p w:rsidR="00A8526A" w:rsidRPr="00A154B0" w:rsidRDefault="00A8526A">
            <w:pPr>
              <w:widowControl w:val="0"/>
              <w:autoSpaceDE w:val="0"/>
              <w:autoSpaceDN w:val="0"/>
              <w:adjustRightInd w:val="0"/>
              <w:spacing w:after="0" w:line="320" w:lineRule="atLeast"/>
              <w:rPr>
                <w:rFonts w:ascii="Arial" w:hAnsi="Arial" w:cs="Times"/>
                <w:b/>
                <w:bCs/>
                <w:color w:val="333333"/>
                <w:szCs w:val="28"/>
                <w:lang w:val="en-US"/>
              </w:rPr>
            </w:pPr>
            <w:r w:rsidRPr="00A154B0">
              <w:rPr>
                <w:rFonts w:ascii="Arial" w:hAnsi="Arial" w:cs="Times"/>
                <w:b/>
                <w:bCs/>
                <w:color w:val="333333"/>
                <w:szCs w:val="28"/>
                <w:lang w:val="en-US"/>
              </w:rPr>
              <w:t>Measure title and description</w:t>
            </w:r>
          </w:p>
        </w:tc>
        <w:tc>
          <w:tcPr>
            <w:tcW w:w="2835" w:type="dxa"/>
            <w:tcBorders>
              <w:top w:val="single" w:sz="8" w:space="0" w:color="999999"/>
              <w:bottom w:val="single" w:sz="8" w:space="0" w:color="999999"/>
            </w:tcBorders>
            <w:tcMar>
              <w:top w:w="140" w:type="nil"/>
              <w:left w:w="100" w:type="nil"/>
              <w:bottom w:w="100" w:type="nil"/>
              <w:right w:w="140" w:type="nil"/>
            </w:tcMar>
          </w:tcPr>
          <w:p w:rsidR="00A8526A" w:rsidRPr="00A154B0" w:rsidRDefault="004D00E4">
            <w:pPr>
              <w:widowControl w:val="0"/>
              <w:autoSpaceDE w:val="0"/>
              <w:autoSpaceDN w:val="0"/>
              <w:adjustRightInd w:val="0"/>
              <w:spacing w:after="0" w:line="320" w:lineRule="atLeast"/>
              <w:rPr>
                <w:rFonts w:ascii="Arial" w:hAnsi="Arial" w:cs="Times"/>
                <w:b/>
                <w:bCs/>
                <w:color w:val="333333"/>
                <w:szCs w:val="28"/>
                <w:lang w:val="en-US"/>
              </w:rPr>
            </w:pPr>
            <w:r w:rsidRPr="00A154B0">
              <w:rPr>
                <w:rFonts w:ascii="Arial" w:hAnsi="Arial" w:cs="Times"/>
                <w:b/>
                <w:bCs/>
                <w:color w:val="333333"/>
                <w:szCs w:val="28"/>
                <w:lang w:val="en-US"/>
              </w:rPr>
              <w:t>Status</w:t>
            </w:r>
          </w:p>
        </w:tc>
        <w:tc>
          <w:tcPr>
            <w:tcW w:w="2268" w:type="dxa"/>
            <w:tcBorders>
              <w:top w:val="single" w:sz="8" w:space="0" w:color="999999"/>
              <w:bottom w:val="single" w:sz="8" w:space="0" w:color="999999"/>
            </w:tcBorders>
            <w:tcMar>
              <w:top w:w="140" w:type="nil"/>
              <w:left w:w="100" w:type="nil"/>
              <w:bottom w:w="100" w:type="nil"/>
              <w:right w:w="140" w:type="nil"/>
            </w:tcMar>
          </w:tcPr>
          <w:p w:rsidR="00A8526A" w:rsidRPr="00A154B0" w:rsidRDefault="00A8526A">
            <w:pPr>
              <w:widowControl w:val="0"/>
              <w:autoSpaceDE w:val="0"/>
              <w:autoSpaceDN w:val="0"/>
              <w:adjustRightInd w:val="0"/>
              <w:spacing w:after="0" w:line="320" w:lineRule="atLeast"/>
              <w:rPr>
                <w:rFonts w:ascii="Arial" w:hAnsi="Arial" w:cs="Times"/>
                <w:b/>
                <w:bCs/>
                <w:color w:val="333333"/>
                <w:szCs w:val="28"/>
                <w:lang w:val="en-US"/>
              </w:rPr>
            </w:pPr>
            <w:r w:rsidRPr="00A154B0">
              <w:rPr>
                <w:rFonts w:ascii="Arial" w:hAnsi="Arial" w:cs="Times"/>
                <w:b/>
                <w:bCs/>
                <w:color w:val="333333"/>
                <w:szCs w:val="28"/>
                <w:lang w:val="en-US"/>
              </w:rPr>
              <w:t>Date of effect</w:t>
            </w:r>
          </w:p>
        </w:tc>
      </w:tr>
      <w:tr w:rsidR="00A8526A" w:rsidRPr="00A154B0">
        <w:tc>
          <w:tcPr>
            <w:tcW w:w="959" w:type="dxa"/>
            <w:tcMar>
              <w:top w:w="140" w:type="nil"/>
              <w:left w:w="100" w:type="nil"/>
              <w:bottom w:w="100" w:type="nil"/>
              <w:right w:w="140" w:type="nil"/>
            </w:tcMar>
          </w:tcPr>
          <w:p w:rsidR="00A8526A" w:rsidRPr="00A154B0" w:rsidRDefault="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color w:val="333333"/>
                <w:szCs w:val="28"/>
                <w:lang w:val="en-US"/>
              </w:rPr>
              <w:t>1</w:t>
            </w:r>
          </w:p>
        </w:tc>
        <w:tc>
          <w:tcPr>
            <w:tcW w:w="7654" w:type="dxa"/>
            <w:tcMar>
              <w:top w:w="140" w:type="nil"/>
              <w:left w:w="100" w:type="nil"/>
              <w:bottom w:w="100" w:type="nil"/>
              <w:right w:w="140" w:type="nil"/>
            </w:tcMar>
          </w:tcPr>
          <w:p w:rsidR="00A8526A" w:rsidRPr="00A154B0" w:rsidRDefault="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b/>
                <w:bCs/>
                <w:color w:val="333333"/>
                <w:szCs w:val="28"/>
                <w:lang w:val="en-US"/>
              </w:rPr>
              <w:t>Anti</w:t>
            </w:r>
            <w:r w:rsidRPr="00A154B0">
              <w:rPr>
                <w:rFonts w:ascii="Arial" w:hAnsi="Monaco" w:cs="Monaco"/>
                <w:b/>
                <w:bCs/>
                <w:color w:val="333333"/>
                <w:szCs w:val="28"/>
                <w:lang w:val="en-US"/>
              </w:rPr>
              <w:t>‑</w:t>
            </w:r>
            <w:r w:rsidRPr="00A154B0">
              <w:rPr>
                <w:rFonts w:ascii="Arial" w:hAnsi="Arial" w:cs="Times"/>
                <w:b/>
                <w:bCs/>
                <w:color w:val="333333"/>
                <w:szCs w:val="28"/>
                <w:lang w:val="en-US"/>
              </w:rPr>
              <w:t>smoking strategy</w:t>
            </w:r>
            <w:r w:rsidRPr="00A154B0">
              <w:rPr>
                <w:rFonts w:ascii="Arial" w:hAnsi="Arial" w:cs="Times"/>
                <w:color w:val="333333"/>
                <w:szCs w:val="28"/>
                <w:lang w:val="en-US"/>
              </w:rPr>
              <w:t xml:space="preserve"> — staged increases in excise on tobacco and tobacco</w:t>
            </w:r>
            <w:r w:rsidRPr="00A154B0">
              <w:rPr>
                <w:rFonts w:ascii="Arial" w:hAnsi="Monaco" w:cs="Monaco"/>
                <w:color w:val="333333"/>
                <w:szCs w:val="28"/>
                <w:lang w:val="en-US"/>
              </w:rPr>
              <w:t>‑</w:t>
            </w:r>
            <w:r w:rsidRPr="00A154B0">
              <w:rPr>
                <w:rFonts w:ascii="Arial" w:hAnsi="Arial" w:cs="Times"/>
                <w:color w:val="333333"/>
                <w:szCs w:val="28"/>
                <w:lang w:val="en-US"/>
              </w:rPr>
              <w:t>related products. 12.5 per cent increases in tobacco excise on 1 Dec 2013, and 1 Sept 2014, 2015 and 2016.</w:t>
            </w:r>
          </w:p>
        </w:tc>
        <w:tc>
          <w:tcPr>
            <w:tcW w:w="2835" w:type="dxa"/>
            <w:tcMar>
              <w:top w:w="140" w:type="nil"/>
              <w:left w:w="100" w:type="nil"/>
              <w:bottom w:w="100" w:type="nil"/>
              <w:right w:w="140" w:type="nil"/>
            </w:tcMar>
          </w:tcPr>
          <w:p w:rsidR="00A8526A" w:rsidRPr="00A154B0" w:rsidRDefault="00A8526A">
            <w:pPr>
              <w:widowControl w:val="0"/>
              <w:autoSpaceDE w:val="0"/>
              <w:autoSpaceDN w:val="0"/>
              <w:adjustRightInd w:val="0"/>
              <w:spacing w:after="0" w:line="320" w:lineRule="atLeast"/>
              <w:rPr>
                <w:rFonts w:ascii="Arial" w:hAnsi="Arial" w:cs="Times"/>
                <w:color w:val="333333"/>
                <w:szCs w:val="28"/>
                <w:lang w:val="en-US"/>
              </w:rPr>
            </w:pPr>
          </w:p>
        </w:tc>
        <w:tc>
          <w:tcPr>
            <w:tcW w:w="2268" w:type="dxa"/>
            <w:tcMar>
              <w:top w:w="140" w:type="nil"/>
              <w:left w:w="100" w:type="nil"/>
              <w:bottom w:w="100" w:type="nil"/>
              <w:right w:w="140" w:type="nil"/>
            </w:tcMar>
          </w:tcPr>
          <w:p w:rsidR="00A8526A" w:rsidRPr="00A154B0" w:rsidRDefault="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color w:val="333333"/>
                <w:szCs w:val="28"/>
                <w:lang w:val="en-US"/>
              </w:rPr>
              <w:t>1</w:t>
            </w:r>
            <w:r w:rsidRPr="00A154B0">
              <w:rPr>
                <w:rFonts w:ascii="Arial" w:hAnsi="Monaco" w:cs="Monaco"/>
                <w:color w:val="333333"/>
                <w:szCs w:val="28"/>
                <w:lang w:val="en-US"/>
              </w:rPr>
              <w:t>‑</w:t>
            </w:r>
            <w:r w:rsidRPr="00A154B0">
              <w:rPr>
                <w:rFonts w:ascii="Arial" w:hAnsi="Arial" w:cs="Times"/>
                <w:color w:val="333333"/>
                <w:szCs w:val="28"/>
                <w:lang w:val="en-US"/>
              </w:rPr>
              <w:t>Dec</w:t>
            </w:r>
            <w:r w:rsidRPr="00A154B0">
              <w:rPr>
                <w:rFonts w:ascii="Arial" w:hAnsi="Monaco" w:cs="Monaco"/>
                <w:color w:val="333333"/>
                <w:szCs w:val="28"/>
                <w:lang w:val="en-US"/>
              </w:rPr>
              <w:t>‑</w:t>
            </w:r>
            <w:r w:rsidRPr="00A154B0">
              <w:rPr>
                <w:rFonts w:ascii="Arial" w:hAnsi="Arial" w:cs="Times"/>
                <w:color w:val="333333"/>
                <w:szCs w:val="28"/>
                <w:lang w:val="en-US"/>
              </w:rPr>
              <w:t>13</w:t>
            </w:r>
          </w:p>
        </w:tc>
      </w:tr>
      <w:tr w:rsidR="00A8526A" w:rsidRPr="00A154B0">
        <w:tc>
          <w:tcPr>
            <w:tcW w:w="959" w:type="dxa"/>
            <w:tcMar>
              <w:top w:w="140" w:type="nil"/>
              <w:left w:w="100" w:type="nil"/>
              <w:bottom w:w="100" w:type="nil"/>
              <w:right w:w="140" w:type="nil"/>
            </w:tcMar>
          </w:tcPr>
          <w:p w:rsidR="00A8526A" w:rsidRPr="00A154B0" w:rsidRDefault="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color w:val="333333"/>
                <w:szCs w:val="28"/>
                <w:lang w:val="en-US"/>
              </w:rPr>
              <w:t>2</w:t>
            </w:r>
          </w:p>
        </w:tc>
        <w:tc>
          <w:tcPr>
            <w:tcW w:w="7654" w:type="dxa"/>
            <w:tcMar>
              <w:top w:w="140" w:type="nil"/>
              <w:left w:w="100" w:type="nil"/>
              <w:bottom w:w="100" w:type="nil"/>
              <w:right w:w="140" w:type="nil"/>
            </w:tcMar>
          </w:tcPr>
          <w:p w:rsidR="00A8526A" w:rsidRPr="00A154B0" w:rsidRDefault="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b/>
                <w:bCs/>
                <w:color w:val="333333"/>
                <w:szCs w:val="28"/>
                <w:lang w:val="en-US"/>
              </w:rPr>
              <w:t>Protecting the corporate tax base from erosion and loopholes — targeting the deduction for exploration to genuine exploration activity.</w:t>
            </w:r>
            <w:r w:rsidRPr="00A154B0">
              <w:rPr>
                <w:rFonts w:ascii="Arial" w:hAnsi="Arial" w:cs="Times"/>
                <w:color w:val="333333"/>
                <w:szCs w:val="28"/>
                <w:lang w:val="en-US"/>
              </w:rPr>
              <w:t>  Restricts the immediate deduction for the cost of acquiring mining rights, so that it is only available for genuine exploration activities (as originally intended).</w:t>
            </w:r>
          </w:p>
        </w:tc>
        <w:tc>
          <w:tcPr>
            <w:tcW w:w="2835" w:type="dxa"/>
            <w:tcMar>
              <w:top w:w="140" w:type="nil"/>
              <w:left w:w="100" w:type="nil"/>
              <w:bottom w:w="100" w:type="nil"/>
              <w:right w:w="140" w:type="nil"/>
            </w:tcMar>
          </w:tcPr>
          <w:p w:rsidR="00A8526A" w:rsidRPr="00A154B0" w:rsidRDefault="00A8526A">
            <w:pPr>
              <w:widowControl w:val="0"/>
              <w:autoSpaceDE w:val="0"/>
              <w:autoSpaceDN w:val="0"/>
              <w:adjustRightInd w:val="0"/>
              <w:spacing w:after="0" w:line="320" w:lineRule="atLeast"/>
              <w:rPr>
                <w:rFonts w:ascii="Arial" w:hAnsi="Arial" w:cs="Times"/>
                <w:color w:val="333333"/>
                <w:szCs w:val="28"/>
                <w:lang w:val="en-US"/>
              </w:rPr>
            </w:pPr>
          </w:p>
        </w:tc>
        <w:tc>
          <w:tcPr>
            <w:tcW w:w="2268" w:type="dxa"/>
            <w:tcMar>
              <w:top w:w="140" w:type="nil"/>
              <w:left w:w="100" w:type="nil"/>
              <w:bottom w:w="100" w:type="nil"/>
              <w:right w:w="140" w:type="nil"/>
            </w:tcMar>
          </w:tcPr>
          <w:p w:rsidR="00A8526A" w:rsidRPr="00A154B0" w:rsidRDefault="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color w:val="333333"/>
                <w:szCs w:val="28"/>
                <w:lang w:val="en-US"/>
              </w:rPr>
              <w:t>14</w:t>
            </w:r>
            <w:r w:rsidRPr="00A154B0">
              <w:rPr>
                <w:rFonts w:ascii="Arial" w:hAnsi="Monaco" w:cs="Monaco"/>
                <w:color w:val="333333"/>
                <w:szCs w:val="28"/>
                <w:lang w:val="en-US"/>
              </w:rPr>
              <w:t>‑</w:t>
            </w:r>
            <w:r w:rsidRPr="00A154B0">
              <w:rPr>
                <w:rFonts w:ascii="Arial" w:hAnsi="Arial" w:cs="Times"/>
                <w:color w:val="333333"/>
                <w:szCs w:val="28"/>
                <w:lang w:val="en-US"/>
              </w:rPr>
              <w:t>May</w:t>
            </w:r>
            <w:r w:rsidRPr="00A154B0">
              <w:rPr>
                <w:rFonts w:ascii="Arial" w:hAnsi="Monaco" w:cs="Monaco"/>
                <w:color w:val="333333"/>
                <w:szCs w:val="28"/>
                <w:lang w:val="en-US"/>
              </w:rPr>
              <w:t>‑</w:t>
            </w:r>
            <w:r w:rsidRPr="00A154B0">
              <w:rPr>
                <w:rFonts w:ascii="Arial" w:hAnsi="Arial" w:cs="Times"/>
                <w:color w:val="333333"/>
                <w:szCs w:val="28"/>
                <w:lang w:val="en-US"/>
              </w:rPr>
              <w:t>13</w:t>
            </w:r>
          </w:p>
        </w:tc>
      </w:tr>
      <w:tr w:rsidR="00A8526A" w:rsidRPr="00A154B0">
        <w:tc>
          <w:tcPr>
            <w:tcW w:w="959" w:type="dxa"/>
            <w:tcMar>
              <w:top w:w="140" w:type="nil"/>
              <w:left w:w="100" w:type="nil"/>
              <w:bottom w:w="100" w:type="nil"/>
              <w:right w:w="140" w:type="nil"/>
            </w:tcMar>
          </w:tcPr>
          <w:p w:rsidR="00A8526A" w:rsidRPr="00A154B0" w:rsidRDefault="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color w:val="333333"/>
                <w:szCs w:val="28"/>
                <w:lang w:val="en-US"/>
              </w:rPr>
              <w:t>3</w:t>
            </w:r>
          </w:p>
        </w:tc>
        <w:tc>
          <w:tcPr>
            <w:tcW w:w="7654" w:type="dxa"/>
            <w:tcMar>
              <w:top w:w="140" w:type="nil"/>
              <w:left w:w="100" w:type="nil"/>
              <w:bottom w:w="100" w:type="nil"/>
              <w:right w:w="140" w:type="nil"/>
            </w:tcMar>
          </w:tcPr>
          <w:p w:rsidR="00A8526A" w:rsidRPr="00A154B0" w:rsidRDefault="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b/>
                <w:bCs/>
                <w:color w:val="333333"/>
                <w:szCs w:val="28"/>
                <w:lang w:val="en-US"/>
              </w:rPr>
              <w:t>A plan for Australian jobs — research and development tax incentive — better targeting.</w:t>
            </w:r>
            <w:r w:rsidRPr="00A154B0">
              <w:rPr>
                <w:rFonts w:ascii="Arial" w:hAnsi="Arial" w:cs="Times"/>
                <w:color w:val="333333"/>
                <w:szCs w:val="28"/>
                <w:lang w:val="en-US"/>
              </w:rPr>
              <w:t xml:space="preserve"> Denies access to the R&amp;D tax incentive for large companies with incomes of</w:t>
            </w:r>
          </w:p>
          <w:p w:rsidR="00A8526A" w:rsidRPr="00A154B0" w:rsidRDefault="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color w:val="333333"/>
                <w:szCs w:val="28"/>
                <w:lang w:val="en-US"/>
              </w:rPr>
              <w:t>$20 billion or more.</w:t>
            </w:r>
          </w:p>
        </w:tc>
        <w:tc>
          <w:tcPr>
            <w:tcW w:w="2835" w:type="dxa"/>
            <w:tcMar>
              <w:top w:w="140" w:type="nil"/>
              <w:left w:w="100" w:type="nil"/>
              <w:bottom w:w="100" w:type="nil"/>
              <w:right w:w="140" w:type="nil"/>
            </w:tcMar>
          </w:tcPr>
          <w:p w:rsidR="00A8526A" w:rsidRPr="00A154B0" w:rsidRDefault="00592FA9">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color w:val="333333"/>
                <w:szCs w:val="28"/>
                <w:lang w:val="en-US"/>
              </w:rPr>
              <w:t>Tax Law Amendment (Research and Development) Bill 2013</w:t>
            </w:r>
          </w:p>
        </w:tc>
        <w:tc>
          <w:tcPr>
            <w:tcW w:w="2268" w:type="dxa"/>
            <w:tcMar>
              <w:top w:w="140" w:type="nil"/>
              <w:left w:w="100" w:type="nil"/>
              <w:bottom w:w="100" w:type="nil"/>
              <w:right w:w="140" w:type="nil"/>
            </w:tcMar>
          </w:tcPr>
          <w:p w:rsidR="00A8526A" w:rsidRPr="00A154B0" w:rsidRDefault="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color w:val="333333"/>
                <w:szCs w:val="28"/>
                <w:lang w:val="en-US"/>
              </w:rPr>
              <w:t>1</w:t>
            </w:r>
            <w:r w:rsidRPr="00A154B0">
              <w:rPr>
                <w:rFonts w:ascii="Arial" w:hAnsi="Monaco" w:cs="Monaco"/>
                <w:color w:val="333333"/>
                <w:szCs w:val="28"/>
                <w:lang w:val="en-US"/>
              </w:rPr>
              <w:t>‑</w:t>
            </w:r>
            <w:r w:rsidRPr="00A154B0">
              <w:rPr>
                <w:rFonts w:ascii="Arial" w:hAnsi="Arial" w:cs="Times"/>
                <w:color w:val="333333"/>
                <w:szCs w:val="28"/>
                <w:lang w:val="en-US"/>
              </w:rPr>
              <w:t>Jul</w:t>
            </w:r>
            <w:r w:rsidRPr="00A154B0">
              <w:rPr>
                <w:rFonts w:ascii="Arial" w:hAnsi="Monaco" w:cs="Monaco"/>
                <w:color w:val="333333"/>
                <w:szCs w:val="28"/>
                <w:lang w:val="en-US"/>
              </w:rPr>
              <w:t>‑</w:t>
            </w:r>
            <w:r w:rsidRPr="00A154B0">
              <w:rPr>
                <w:rFonts w:ascii="Arial" w:hAnsi="Arial" w:cs="Times"/>
                <w:color w:val="333333"/>
                <w:szCs w:val="28"/>
                <w:lang w:val="en-US"/>
              </w:rPr>
              <w:t>13</w:t>
            </w:r>
          </w:p>
        </w:tc>
      </w:tr>
      <w:tr w:rsidR="00A8526A" w:rsidRPr="00A154B0">
        <w:tc>
          <w:tcPr>
            <w:tcW w:w="959" w:type="dxa"/>
            <w:tcMar>
              <w:top w:w="140" w:type="nil"/>
              <w:left w:w="100" w:type="nil"/>
              <w:bottom w:w="100" w:type="nil"/>
              <w:right w:w="140" w:type="nil"/>
            </w:tcMar>
          </w:tcPr>
          <w:p w:rsidR="00A8526A" w:rsidRPr="00A154B0" w:rsidRDefault="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color w:val="333333"/>
                <w:szCs w:val="28"/>
                <w:lang w:val="en-US"/>
              </w:rPr>
              <w:t>4</w:t>
            </w:r>
          </w:p>
        </w:tc>
        <w:tc>
          <w:tcPr>
            <w:tcW w:w="7654" w:type="dxa"/>
            <w:tcMar>
              <w:top w:w="140" w:type="nil"/>
              <w:left w:w="100" w:type="nil"/>
              <w:bottom w:w="100" w:type="nil"/>
              <w:right w:w="140" w:type="nil"/>
            </w:tcMar>
          </w:tcPr>
          <w:p w:rsidR="00A8526A" w:rsidRPr="00A154B0" w:rsidRDefault="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b/>
                <w:bCs/>
                <w:color w:val="333333"/>
                <w:szCs w:val="28"/>
                <w:lang w:val="en-US"/>
              </w:rPr>
              <w:t xml:space="preserve">Personal income tax — net medical expenses </w:t>
            </w:r>
            <w:proofErr w:type="gramStart"/>
            <w:r w:rsidRPr="00A154B0">
              <w:rPr>
                <w:rFonts w:ascii="Arial" w:hAnsi="Arial" w:cs="Times"/>
                <w:b/>
                <w:bCs/>
                <w:color w:val="333333"/>
                <w:szCs w:val="28"/>
                <w:lang w:val="en-US"/>
              </w:rPr>
              <w:t>tax offset</w:t>
            </w:r>
            <w:proofErr w:type="gramEnd"/>
            <w:r w:rsidRPr="00A154B0">
              <w:rPr>
                <w:rFonts w:ascii="Arial" w:hAnsi="Arial" w:cs="Times"/>
                <w:b/>
                <w:bCs/>
                <w:color w:val="333333"/>
                <w:szCs w:val="28"/>
                <w:lang w:val="en-US"/>
              </w:rPr>
              <w:t xml:space="preserve"> phase out.</w:t>
            </w:r>
            <w:r w:rsidRPr="00A154B0">
              <w:rPr>
                <w:rFonts w:ascii="Arial" w:hAnsi="Arial" w:cs="Times"/>
                <w:color w:val="333333"/>
                <w:szCs w:val="28"/>
                <w:lang w:val="en-US"/>
              </w:rPr>
              <w:t xml:space="preserve">  Proceeds with phasing out the net medical expenses tax offset, with transitional arrangements for current claimants.</w:t>
            </w:r>
          </w:p>
        </w:tc>
        <w:tc>
          <w:tcPr>
            <w:tcW w:w="2835" w:type="dxa"/>
            <w:tcMar>
              <w:top w:w="140" w:type="nil"/>
              <w:left w:w="100" w:type="nil"/>
              <w:bottom w:w="100" w:type="nil"/>
              <w:right w:w="140" w:type="nil"/>
            </w:tcMar>
          </w:tcPr>
          <w:p w:rsidR="00A8526A" w:rsidRPr="00A154B0" w:rsidRDefault="00A154B0">
            <w:pPr>
              <w:widowControl w:val="0"/>
              <w:autoSpaceDE w:val="0"/>
              <w:autoSpaceDN w:val="0"/>
              <w:adjustRightInd w:val="0"/>
              <w:spacing w:after="0" w:line="320" w:lineRule="atLeast"/>
              <w:rPr>
                <w:rFonts w:ascii="Arial" w:hAnsi="Arial" w:cs="Times"/>
                <w:color w:val="333333"/>
                <w:szCs w:val="28"/>
                <w:lang w:val="en-US"/>
              </w:rPr>
            </w:pPr>
            <w:r>
              <w:rPr>
                <w:rFonts w:ascii="Arial" w:hAnsi="Arial" w:cs="Times"/>
                <w:color w:val="333333"/>
                <w:szCs w:val="28"/>
                <w:lang w:val="en-US"/>
              </w:rPr>
              <w:t>Tax and Superannuation</w:t>
            </w:r>
            <w:r w:rsidR="00592FA9" w:rsidRPr="00A154B0">
              <w:rPr>
                <w:rFonts w:ascii="Arial" w:hAnsi="Arial" w:cs="Times"/>
                <w:color w:val="333333"/>
                <w:szCs w:val="28"/>
                <w:lang w:val="en-US"/>
              </w:rPr>
              <w:t xml:space="preserve"> Laws Amendment (2014 Measures No 1) Bill 2014</w:t>
            </w:r>
          </w:p>
        </w:tc>
        <w:tc>
          <w:tcPr>
            <w:tcW w:w="2268" w:type="dxa"/>
            <w:tcMar>
              <w:top w:w="140" w:type="nil"/>
              <w:left w:w="100" w:type="nil"/>
              <w:bottom w:w="100" w:type="nil"/>
              <w:right w:w="140" w:type="nil"/>
            </w:tcMar>
          </w:tcPr>
          <w:p w:rsidR="00A8526A" w:rsidRPr="00A154B0" w:rsidRDefault="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color w:val="333333"/>
                <w:szCs w:val="28"/>
                <w:lang w:val="en-US"/>
              </w:rPr>
              <w:t>1</w:t>
            </w:r>
            <w:r w:rsidRPr="00A154B0">
              <w:rPr>
                <w:rFonts w:ascii="Arial" w:hAnsi="Monaco" w:cs="Monaco"/>
                <w:color w:val="333333"/>
                <w:szCs w:val="28"/>
                <w:lang w:val="en-US"/>
              </w:rPr>
              <w:t>‑</w:t>
            </w:r>
            <w:r w:rsidRPr="00A154B0">
              <w:rPr>
                <w:rFonts w:ascii="Arial" w:hAnsi="Arial" w:cs="Times"/>
                <w:color w:val="333333"/>
                <w:szCs w:val="28"/>
                <w:lang w:val="en-US"/>
              </w:rPr>
              <w:t>Jul</w:t>
            </w:r>
            <w:r w:rsidRPr="00A154B0">
              <w:rPr>
                <w:rFonts w:ascii="Arial" w:hAnsi="Monaco" w:cs="Monaco"/>
                <w:color w:val="333333"/>
                <w:szCs w:val="28"/>
                <w:lang w:val="en-US"/>
              </w:rPr>
              <w:t>‑</w:t>
            </w:r>
            <w:r w:rsidRPr="00A154B0">
              <w:rPr>
                <w:rFonts w:ascii="Arial" w:hAnsi="Arial" w:cs="Times"/>
                <w:color w:val="333333"/>
                <w:szCs w:val="28"/>
                <w:lang w:val="en-US"/>
              </w:rPr>
              <w:t>13</w:t>
            </w:r>
          </w:p>
        </w:tc>
      </w:tr>
      <w:tr w:rsidR="00A8526A" w:rsidRPr="00A154B0">
        <w:tc>
          <w:tcPr>
            <w:tcW w:w="959" w:type="dxa"/>
            <w:tcMar>
              <w:top w:w="140" w:type="nil"/>
              <w:left w:w="100" w:type="nil"/>
              <w:bottom w:w="100" w:type="nil"/>
              <w:right w:w="140" w:type="nil"/>
            </w:tcMar>
          </w:tcPr>
          <w:p w:rsidR="00A8526A" w:rsidRPr="00A154B0" w:rsidRDefault="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color w:val="333333"/>
                <w:szCs w:val="28"/>
                <w:lang w:val="en-US"/>
              </w:rPr>
              <w:t>5</w:t>
            </w:r>
          </w:p>
        </w:tc>
        <w:tc>
          <w:tcPr>
            <w:tcW w:w="7654" w:type="dxa"/>
            <w:tcMar>
              <w:top w:w="140" w:type="nil"/>
              <w:left w:w="100" w:type="nil"/>
              <w:bottom w:w="100" w:type="nil"/>
              <w:right w:w="140" w:type="nil"/>
            </w:tcMar>
          </w:tcPr>
          <w:p w:rsidR="00A8526A" w:rsidRPr="00A154B0" w:rsidRDefault="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b/>
                <w:bCs/>
                <w:color w:val="333333"/>
                <w:szCs w:val="28"/>
                <w:lang w:val="en-US"/>
              </w:rPr>
              <w:t>Excise and excise</w:t>
            </w:r>
            <w:r w:rsidRPr="00A154B0">
              <w:rPr>
                <w:rFonts w:ascii="Arial" w:hAnsi="Monaco" w:cs="Monaco"/>
                <w:b/>
                <w:bCs/>
                <w:color w:val="333333"/>
                <w:szCs w:val="28"/>
                <w:lang w:val="en-US"/>
              </w:rPr>
              <w:t>‑</w:t>
            </w:r>
            <w:r w:rsidRPr="00A154B0">
              <w:rPr>
                <w:rFonts w:ascii="Arial" w:hAnsi="Arial" w:cs="Times"/>
                <w:b/>
                <w:bCs/>
                <w:color w:val="333333"/>
                <w:szCs w:val="28"/>
                <w:lang w:val="en-US"/>
              </w:rPr>
              <w:t>equivalent customs duty — index tobacco excise to average weekly ordinary time earnings.</w:t>
            </w:r>
            <w:r w:rsidRPr="00A154B0">
              <w:rPr>
                <w:rFonts w:ascii="Arial" w:hAnsi="Arial" w:cs="Times"/>
                <w:color w:val="333333"/>
                <w:szCs w:val="28"/>
                <w:lang w:val="en-US"/>
              </w:rPr>
              <w:t xml:space="preserve"> Indexes tobacco excise to AWOTE instead of CPI, from March</w:t>
            </w:r>
          </w:p>
          <w:p w:rsidR="00A8526A" w:rsidRPr="00A154B0" w:rsidRDefault="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color w:val="333333"/>
                <w:szCs w:val="28"/>
                <w:lang w:val="en-US"/>
              </w:rPr>
              <w:t>2014.</w:t>
            </w:r>
          </w:p>
        </w:tc>
        <w:tc>
          <w:tcPr>
            <w:tcW w:w="2835" w:type="dxa"/>
            <w:tcMar>
              <w:top w:w="140" w:type="nil"/>
              <w:left w:w="100" w:type="nil"/>
              <w:bottom w:w="100" w:type="nil"/>
              <w:right w:w="140" w:type="nil"/>
            </w:tcMar>
          </w:tcPr>
          <w:p w:rsidR="00A8526A" w:rsidRPr="00A154B0" w:rsidRDefault="00A8526A">
            <w:pPr>
              <w:widowControl w:val="0"/>
              <w:autoSpaceDE w:val="0"/>
              <w:autoSpaceDN w:val="0"/>
              <w:adjustRightInd w:val="0"/>
              <w:spacing w:after="0" w:line="320" w:lineRule="atLeast"/>
              <w:rPr>
                <w:rFonts w:ascii="Arial" w:hAnsi="Arial" w:cs="Times"/>
                <w:color w:val="333333"/>
                <w:szCs w:val="28"/>
                <w:lang w:val="en-US"/>
              </w:rPr>
            </w:pPr>
          </w:p>
        </w:tc>
        <w:tc>
          <w:tcPr>
            <w:tcW w:w="2268" w:type="dxa"/>
            <w:tcMar>
              <w:top w:w="140" w:type="nil"/>
              <w:left w:w="100" w:type="nil"/>
              <w:bottom w:w="100" w:type="nil"/>
              <w:right w:w="140" w:type="nil"/>
            </w:tcMar>
          </w:tcPr>
          <w:p w:rsidR="00A8526A" w:rsidRPr="00A154B0" w:rsidRDefault="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color w:val="333333"/>
                <w:szCs w:val="28"/>
                <w:lang w:val="en-US"/>
              </w:rPr>
              <w:t>1</w:t>
            </w:r>
            <w:r w:rsidRPr="00A154B0">
              <w:rPr>
                <w:rFonts w:ascii="Arial" w:hAnsi="Monaco" w:cs="Monaco"/>
                <w:color w:val="333333"/>
                <w:szCs w:val="28"/>
                <w:lang w:val="en-US"/>
              </w:rPr>
              <w:t>‑</w:t>
            </w:r>
            <w:r w:rsidRPr="00A154B0">
              <w:rPr>
                <w:rFonts w:ascii="Arial" w:hAnsi="Arial" w:cs="Times"/>
                <w:color w:val="333333"/>
                <w:szCs w:val="28"/>
                <w:lang w:val="en-US"/>
              </w:rPr>
              <w:t>Mar</w:t>
            </w:r>
            <w:r w:rsidRPr="00A154B0">
              <w:rPr>
                <w:rFonts w:ascii="Arial" w:hAnsi="Monaco" w:cs="Monaco"/>
                <w:color w:val="333333"/>
                <w:szCs w:val="28"/>
                <w:lang w:val="en-US"/>
              </w:rPr>
              <w:t>‑</w:t>
            </w:r>
            <w:r w:rsidRPr="00A154B0">
              <w:rPr>
                <w:rFonts w:ascii="Arial" w:hAnsi="Arial" w:cs="Times"/>
                <w:color w:val="333333"/>
                <w:szCs w:val="28"/>
                <w:lang w:val="en-US"/>
              </w:rPr>
              <w:t>14</w:t>
            </w:r>
          </w:p>
        </w:tc>
      </w:tr>
      <w:tr w:rsidR="00A8526A" w:rsidRPr="00A154B0">
        <w:tc>
          <w:tcPr>
            <w:tcW w:w="959" w:type="dxa"/>
            <w:tcMar>
              <w:top w:w="140" w:type="nil"/>
              <w:left w:w="100" w:type="nil"/>
              <w:bottom w:w="100" w:type="nil"/>
              <w:right w:w="140" w:type="nil"/>
            </w:tcMar>
          </w:tcPr>
          <w:p w:rsidR="00A8526A" w:rsidRPr="00A154B0" w:rsidRDefault="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color w:val="333333"/>
                <w:szCs w:val="28"/>
                <w:lang w:val="en-US"/>
              </w:rPr>
              <w:t>6</w:t>
            </w:r>
          </w:p>
        </w:tc>
        <w:tc>
          <w:tcPr>
            <w:tcW w:w="7654" w:type="dxa"/>
            <w:tcMar>
              <w:top w:w="140" w:type="nil"/>
              <w:left w:w="100" w:type="nil"/>
              <w:bottom w:w="100" w:type="nil"/>
              <w:right w:w="140" w:type="nil"/>
            </w:tcMar>
          </w:tcPr>
          <w:p w:rsidR="00A8526A" w:rsidRPr="00A154B0" w:rsidRDefault="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b/>
                <w:bCs/>
                <w:color w:val="333333"/>
                <w:szCs w:val="28"/>
                <w:lang w:val="en-US"/>
              </w:rPr>
              <w:t>Protecting the corporate tax base from erosion and loopholes — closing loopholes in the consolidation regime.</w:t>
            </w:r>
            <w:r w:rsidRPr="00A154B0">
              <w:rPr>
                <w:rFonts w:ascii="Arial" w:hAnsi="Arial" w:cs="Times"/>
                <w:color w:val="333333"/>
                <w:szCs w:val="28"/>
                <w:lang w:val="en-US"/>
              </w:rPr>
              <w:t xml:space="preserve"> Improves the integrity of the consolidation regime and prevents entities claiming double deductions.</w:t>
            </w:r>
          </w:p>
        </w:tc>
        <w:tc>
          <w:tcPr>
            <w:tcW w:w="2835" w:type="dxa"/>
            <w:tcMar>
              <w:top w:w="140" w:type="nil"/>
              <w:left w:w="100" w:type="nil"/>
              <w:bottom w:w="100" w:type="nil"/>
              <w:right w:w="140" w:type="nil"/>
            </w:tcMar>
          </w:tcPr>
          <w:p w:rsidR="00A8526A" w:rsidRPr="00A154B0" w:rsidRDefault="00A8526A">
            <w:pPr>
              <w:widowControl w:val="0"/>
              <w:autoSpaceDE w:val="0"/>
              <w:autoSpaceDN w:val="0"/>
              <w:adjustRightInd w:val="0"/>
              <w:spacing w:after="0" w:line="320" w:lineRule="atLeast"/>
              <w:rPr>
                <w:rFonts w:ascii="Arial" w:hAnsi="Arial" w:cs="Times"/>
                <w:color w:val="333333"/>
                <w:szCs w:val="28"/>
                <w:lang w:val="en-US"/>
              </w:rPr>
            </w:pPr>
          </w:p>
        </w:tc>
        <w:tc>
          <w:tcPr>
            <w:tcW w:w="2268" w:type="dxa"/>
            <w:tcMar>
              <w:top w:w="140" w:type="nil"/>
              <w:left w:w="100" w:type="nil"/>
              <w:bottom w:w="100" w:type="nil"/>
              <w:right w:w="140" w:type="nil"/>
            </w:tcMar>
          </w:tcPr>
          <w:p w:rsidR="00A8526A" w:rsidRPr="00A154B0" w:rsidRDefault="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color w:val="333333"/>
                <w:szCs w:val="28"/>
                <w:lang w:val="en-US"/>
              </w:rPr>
              <w:t>14</w:t>
            </w:r>
            <w:r w:rsidRPr="00A154B0">
              <w:rPr>
                <w:rFonts w:ascii="Arial" w:hAnsi="Monaco" w:cs="Monaco"/>
                <w:color w:val="333333"/>
                <w:szCs w:val="28"/>
                <w:lang w:val="en-US"/>
              </w:rPr>
              <w:t>‑</w:t>
            </w:r>
            <w:r w:rsidRPr="00A154B0">
              <w:rPr>
                <w:rFonts w:ascii="Arial" w:hAnsi="Arial" w:cs="Times"/>
                <w:color w:val="333333"/>
                <w:szCs w:val="28"/>
                <w:lang w:val="en-US"/>
              </w:rPr>
              <w:t>May</w:t>
            </w:r>
            <w:r w:rsidRPr="00A154B0">
              <w:rPr>
                <w:rFonts w:ascii="Arial" w:hAnsi="Monaco" w:cs="Monaco"/>
                <w:color w:val="333333"/>
                <w:szCs w:val="28"/>
                <w:lang w:val="en-US"/>
              </w:rPr>
              <w:t>‑</w:t>
            </w:r>
            <w:r w:rsidRPr="00A154B0">
              <w:rPr>
                <w:rFonts w:ascii="Arial" w:hAnsi="Arial" w:cs="Times"/>
                <w:color w:val="333333"/>
                <w:szCs w:val="28"/>
                <w:lang w:val="en-US"/>
              </w:rPr>
              <w:t>13</w:t>
            </w:r>
          </w:p>
        </w:tc>
      </w:tr>
      <w:tr w:rsidR="00A8526A" w:rsidRPr="00A154B0">
        <w:tc>
          <w:tcPr>
            <w:tcW w:w="959" w:type="dxa"/>
            <w:tcMar>
              <w:top w:w="140" w:type="nil"/>
              <w:left w:w="100" w:type="nil"/>
              <w:bottom w:w="100" w:type="nil"/>
              <w:right w:w="140" w:type="nil"/>
            </w:tcMar>
          </w:tcPr>
          <w:p w:rsidR="00A8526A" w:rsidRPr="00A154B0" w:rsidRDefault="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color w:val="333333"/>
                <w:szCs w:val="28"/>
                <w:lang w:val="en-US"/>
              </w:rPr>
              <w:t>7</w:t>
            </w:r>
          </w:p>
        </w:tc>
        <w:tc>
          <w:tcPr>
            <w:tcW w:w="7654" w:type="dxa"/>
            <w:tcMar>
              <w:top w:w="140" w:type="nil"/>
              <w:left w:w="100" w:type="nil"/>
              <w:bottom w:w="100" w:type="nil"/>
              <w:right w:w="140" w:type="nil"/>
            </w:tcMar>
          </w:tcPr>
          <w:p w:rsidR="00A8526A" w:rsidRPr="00A154B0" w:rsidRDefault="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b/>
                <w:bCs/>
                <w:color w:val="333333"/>
                <w:szCs w:val="28"/>
                <w:lang w:val="en-US"/>
              </w:rPr>
              <w:t xml:space="preserve">Tax compliance — improving compliance through third party reporting and data matching. </w:t>
            </w:r>
            <w:r w:rsidRPr="00A154B0">
              <w:rPr>
                <w:rFonts w:ascii="Arial" w:hAnsi="Arial" w:cs="Times"/>
                <w:color w:val="333333"/>
                <w:szCs w:val="28"/>
                <w:lang w:val="en-US"/>
              </w:rPr>
              <w:t>Enhances the information reported to the ATO to improve taxpayer compliance.</w:t>
            </w:r>
          </w:p>
        </w:tc>
        <w:tc>
          <w:tcPr>
            <w:tcW w:w="2835" w:type="dxa"/>
            <w:tcMar>
              <w:top w:w="140" w:type="nil"/>
              <w:left w:w="100" w:type="nil"/>
              <w:bottom w:w="100" w:type="nil"/>
              <w:right w:w="140" w:type="nil"/>
            </w:tcMar>
          </w:tcPr>
          <w:p w:rsidR="00A8526A" w:rsidRPr="00A154B0" w:rsidRDefault="00A154B0">
            <w:pPr>
              <w:widowControl w:val="0"/>
              <w:autoSpaceDE w:val="0"/>
              <w:autoSpaceDN w:val="0"/>
              <w:adjustRightInd w:val="0"/>
              <w:spacing w:after="0" w:line="320" w:lineRule="atLeast"/>
              <w:rPr>
                <w:rFonts w:ascii="Arial" w:hAnsi="Arial" w:cs="Times"/>
                <w:color w:val="333333"/>
                <w:szCs w:val="28"/>
                <w:lang w:val="en-US"/>
              </w:rPr>
            </w:pPr>
            <w:r>
              <w:rPr>
                <w:rFonts w:ascii="Arial" w:hAnsi="Arial" w:cs="Times"/>
                <w:color w:val="333333"/>
                <w:szCs w:val="28"/>
                <w:lang w:val="en-US"/>
              </w:rPr>
              <w:t>Discussion Paper</w:t>
            </w:r>
          </w:p>
        </w:tc>
        <w:tc>
          <w:tcPr>
            <w:tcW w:w="2268" w:type="dxa"/>
            <w:tcMar>
              <w:top w:w="140" w:type="nil"/>
              <w:left w:w="100" w:type="nil"/>
              <w:bottom w:w="100" w:type="nil"/>
              <w:right w:w="140" w:type="nil"/>
            </w:tcMar>
          </w:tcPr>
          <w:p w:rsidR="00A8526A" w:rsidRPr="00A154B0" w:rsidRDefault="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color w:val="333333"/>
                <w:szCs w:val="28"/>
                <w:lang w:val="en-US"/>
              </w:rPr>
              <w:t>1</w:t>
            </w:r>
            <w:r w:rsidRPr="00A154B0">
              <w:rPr>
                <w:rFonts w:ascii="Arial" w:hAnsi="Monaco" w:cs="Monaco"/>
                <w:color w:val="333333"/>
                <w:szCs w:val="28"/>
                <w:lang w:val="en-US"/>
              </w:rPr>
              <w:t>‑</w:t>
            </w:r>
            <w:r w:rsidRPr="00A154B0">
              <w:rPr>
                <w:rFonts w:ascii="Arial" w:hAnsi="Arial" w:cs="Times"/>
                <w:color w:val="333333"/>
                <w:szCs w:val="28"/>
                <w:lang w:val="en-US"/>
              </w:rPr>
              <w:t>Jul</w:t>
            </w:r>
            <w:r w:rsidRPr="00A154B0">
              <w:rPr>
                <w:rFonts w:ascii="Arial" w:hAnsi="Monaco" w:cs="Monaco"/>
                <w:color w:val="333333"/>
                <w:szCs w:val="28"/>
                <w:lang w:val="en-US"/>
              </w:rPr>
              <w:t>‑</w:t>
            </w:r>
            <w:r w:rsidRPr="00A154B0">
              <w:rPr>
                <w:rFonts w:ascii="Arial" w:hAnsi="Arial" w:cs="Times"/>
                <w:color w:val="333333"/>
                <w:szCs w:val="28"/>
                <w:lang w:val="en-US"/>
              </w:rPr>
              <w:t>14</w:t>
            </w:r>
          </w:p>
        </w:tc>
      </w:tr>
      <w:tr w:rsidR="00A8526A" w:rsidRPr="00A154B0">
        <w:tc>
          <w:tcPr>
            <w:tcW w:w="959" w:type="dxa"/>
            <w:tcMar>
              <w:top w:w="140" w:type="nil"/>
              <w:left w:w="100" w:type="nil"/>
              <w:bottom w:w="100" w:type="nil"/>
              <w:right w:w="140" w:type="nil"/>
            </w:tcMar>
          </w:tcPr>
          <w:p w:rsidR="00A8526A" w:rsidRPr="00A154B0" w:rsidRDefault="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color w:val="333333"/>
                <w:szCs w:val="28"/>
                <w:lang w:val="en-US"/>
              </w:rPr>
              <w:t>8</w:t>
            </w:r>
          </w:p>
        </w:tc>
        <w:tc>
          <w:tcPr>
            <w:tcW w:w="7654" w:type="dxa"/>
            <w:tcMar>
              <w:top w:w="140" w:type="nil"/>
              <w:left w:w="100" w:type="nil"/>
              <w:bottom w:w="100" w:type="nil"/>
              <w:right w:w="140" w:type="nil"/>
            </w:tcMar>
          </w:tcPr>
          <w:p w:rsidR="00A8526A" w:rsidRPr="00A154B0" w:rsidRDefault="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b/>
                <w:bCs/>
                <w:color w:val="333333"/>
                <w:szCs w:val="28"/>
                <w:lang w:val="en-US"/>
              </w:rPr>
              <w:t>Superannuation reforms — transfer of lost member accounts to the ATO.</w:t>
            </w:r>
            <w:r w:rsidRPr="00A154B0">
              <w:rPr>
                <w:rFonts w:ascii="Arial" w:hAnsi="Arial" w:cs="Times"/>
                <w:color w:val="333333"/>
                <w:szCs w:val="28"/>
                <w:lang w:val="en-US"/>
              </w:rPr>
              <w:t xml:space="preserve">  Increases the threshold below which lost accounts are required to be transferred to the ATO from $2,000 to $4,000, and then to $6,000.</w:t>
            </w:r>
          </w:p>
        </w:tc>
        <w:tc>
          <w:tcPr>
            <w:tcW w:w="2835" w:type="dxa"/>
            <w:tcMar>
              <w:top w:w="140" w:type="nil"/>
              <w:left w:w="100" w:type="nil"/>
              <w:bottom w:w="100" w:type="nil"/>
              <w:right w:w="140" w:type="nil"/>
            </w:tcMar>
          </w:tcPr>
          <w:p w:rsidR="00A8526A" w:rsidRPr="00A154B0" w:rsidRDefault="00592FA9">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color w:val="333333"/>
                <w:szCs w:val="28"/>
                <w:lang w:val="en-US"/>
              </w:rPr>
              <w:t xml:space="preserve">Tax and </w:t>
            </w:r>
            <w:proofErr w:type="gramStart"/>
            <w:r w:rsidRPr="00A154B0">
              <w:rPr>
                <w:rFonts w:ascii="Arial" w:hAnsi="Arial" w:cs="Times"/>
                <w:color w:val="333333"/>
                <w:szCs w:val="28"/>
                <w:lang w:val="en-US"/>
              </w:rPr>
              <w:t>Superannuation  Laws</w:t>
            </w:r>
            <w:proofErr w:type="gramEnd"/>
            <w:r w:rsidRPr="00A154B0">
              <w:rPr>
                <w:rFonts w:ascii="Arial" w:hAnsi="Arial" w:cs="Times"/>
                <w:color w:val="333333"/>
                <w:szCs w:val="28"/>
                <w:lang w:val="en-US"/>
              </w:rPr>
              <w:t xml:space="preserve"> Amendment (2014 Measures No 2) Bill 2014</w:t>
            </w:r>
          </w:p>
        </w:tc>
        <w:tc>
          <w:tcPr>
            <w:tcW w:w="2268" w:type="dxa"/>
            <w:tcMar>
              <w:top w:w="140" w:type="nil"/>
              <w:left w:w="100" w:type="nil"/>
              <w:bottom w:w="100" w:type="nil"/>
              <w:right w:w="140" w:type="nil"/>
            </w:tcMar>
          </w:tcPr>
          <w:p w:rsidR="00A8526A" w:rsidRPr="00A154B0" w:rsidRDefault="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color w:val="333333"/>
                <w:szCs w:val="28"/>
                <w:lang w:val="en-US"/>
              </w:rPr>
              <w:t>31</w:t>
            </w:r>
            <w:r w:rsidRPr="00A154B0">
              <w:rPr>
                <w:rFonts w:ascii="Arial" w:hAnsi="Monaco" w:cs="Monaco"/>
                <w:color w:val="333333"/>
                <w:szCs w:val="28"/>
                <w:lang w:val="en-US"/>
              </w:rPr>
              <w:t>‑</w:t>
            </w:r>
            <w:r w:rsidRPr="00A154B0">
              <w:rPr>
                <w:rFonts w:ascii="Arial" w:hAnsi="Arial" w:cs="Times"/>
                <w:color w:val="333333"/>
                <w:szCs w:val="28"/>
                <w:lang w:val="en-US"/>
              </w:rPr>
              <w:t>Dec</w:t>
            </w:r>
            <w:r w:rsidRPr="00A154B0">
              <w:rPr>
                <w:rFonts w:ascii="Arial" w:hAnsi="Monaco" w:cs="Monaco"/>
                <w:color w:val="333333"/>
                <w:szCs w:val="28"/>
                <w:lang w:val="en-US"/>
              </w:rPr>
              <w:t>‑</w:t>
            </w:r>
            <w:r w:rsidRPr="00A154B0">
              <w:rPr>
                <w:rFonts w:ascii="Arial" w:hAnsi="Arial" w:cs="Times"/>
                <w:color w:val="333333"/>
                <w:szCs w:val="28"/>
                <w:lang w:val="en-US"/>
              </w:rPr>
              <w:t>15</w:t>
            </w:r>
          </w:p>
        </w:tc>
      </w:tr>
      <w:tr w:rsidR="00A8526A" w:rsidRPr="00A154B0">
        <w:tc>
          <w:tcPr>
            <w:tcW w:w="959" w:type="dxa"/>
            <w:tcMar>
              <w:top w:w="140" w:type="nil"/>
              <w:left w:w="100" w:type="nil"/>
              <w:bottom w:w="100" w:type="nil"/>
              <w:right w:w="140" w:type="nil"/>
            </w:tcMar>
          </w:tcPr>
          <w:p w:rsidR="00A8526A" w:rsidRPr="00A154B0" w:rsidRDefault="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color w:val="333333"/>
                <w:szCs w:val="28"/>
                <w:lang w:val="en-US"/>
              </w:rPr>
              <w:t>9</w:t>
            </w:r>
          </w:p>
        </w:tc>
        <w:tc>
          <w:tcPr>
            <w:tcW w:w="7654" w:type="dxa"/>
            <w:tcMar>
              <w:top w:w="140" w:type="nil"/>
              <w:left w:w="100" w:type="nil"/>
              <w:bottom w:w="100" w:type="nil"/>
              <w:right w:w="140" w:type="nil"/>
            </w:tcMar>
          </w:tcPr>
          <w:p w:rsidR="00A8526A" w:rsidRPr="00A154B0" w:rsidRDefault="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b/>
                <w:bCs/>
                <w:color w:val="333333"/>
                <w:szCs w:val="28"/>
                <w:lang w:val="en-US"/>
              </w:rPr>
              <w:t>Protecting the corporate tax base from erosion and loopholes — improving the integrity of the foreign resident capital gains tax regime: withholding tax regime and technical amendments.</w:t>
            </w:r>
            <w:r w:rsidRPr="00A154B0">
              <w:rPr>
                <w:rFonts w:ascii="Arial" w:hAnsi="Arial" w:cs="Times"/>
                <w:color w:val="333333"/>
                <w:szCs w:val="28"/>
                <w:lang w:val="en-US"/>
              </w:rPr>
              <w:t xml:space="preserve"> Addresses issues in administering Australia's foreign capital gains tax regime; and also clarifies the operation of Australia's taxing rights over indirect Australian real property interests.</w:t>
            </w:r>
          </w:p>
        </w:tc>
        <w:tc>
          <w:tcPr>
            <w:tcW w:w="2835" w:type="dxa"/>
            <w:tcMar>
              <w:top w:w="140" w:type="nil"/>
              <w:left w:w="100" w:type="nil"/>
              <w:bottom w:w="100" w:type="nil"/>
              <w:right w:w="140" w:type="nil"/>
            </w:tcMar>
          </w:tcPr>
          <w:p w:rsidR="00A8526A" w:rsidRPr="00A154B0" w:rsidRDefault="00A8526A">
            <w:pPr>
              <w:widowControl w:val="0"/>
              <w:autoSpaceDE w:val="0"/>
              <w:autoSpaceDN w:val="0"/>
              <w:adjustRightInd w:val="0"/>
              <w:spacing w:after="0" w:line="320" w:lineRule="atLeast"/>
              <w:rPr>
                <w:rFonts w:ascii="Arial" w:hAnsi="Arial" w:cs="Times"/>
                <w:color w:val="333333"/>
                <w:szCs w:val="28"/>
                <w:lang w:val="en-US"/>
              </w:rPr>
            </w:pPr>
          </w:p>
        </w:tc>
        <w:tc>
          <w:tcPr>
            <w:tcW w:w="2268" w:type="dxa"/>
            <w:tcMar>
              <w:top w:w="140" w:type="nil"/>
              <w:left w:w="100" w:type="nil"/>
              <w:bottom w:w="100" w:type="nil"/>
              <w:right w:w="140" w:type="nil"/>
            </w:tcMar>
          </w:tcPr>
          <w:p w:rsidR="00A8526A" w:rsidRPr="00A154B0" w:rsidRDefault="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color w:val="333333"/>
                <w:szCs w:val="28"/>
                <w:lang w:val="en-US"/>
              </w:rPr>
              <w:t>1</w:t>
            </w:r>
            <w:r w:rsidRPr="00A154B0">
              <w:rPr>
                <w:rFonts w:ascii="Arial" w:hAnsi="Monaco" w:cs="Monaco"/>
                <w:color w:val="333333"/>
                <w:szCs w:val="28"/>
                <w:lang w:val="en-US"/>
              </w:rPr>
              <w:t>‑</w:t>
            </w:r>
            <w:r w:rsidRPr="00A154B0">
              <w:rPr>
                <w:rFonts w:ascii="Arial" w:hAnsi="Arial" w:cs="Times"/>
                <w:color w:val="333333"/>
                <w:szCs w:val="28"/>
                <w:lang w:val="en-US"/>
              </w:rPr>
              <w:t>Jul</w:t>
            </w:r>
            <w:r w:rsidRPr="00A154B0">
              <w:rPr>
                <w:rFonts w:ascii="Arial" w:hAnsi="Monaco" w:cs="Monaco"/>
                <w:color w:val="333333"/>
                <w:szCs w:val="28"/>
                <w:lang w:val="en-US"/>
              </w:rPr>
              <w:t>‑</w:t>
            </w:r>
            <w:r w:rsidRPr="00A154B0">
              <w:rPr>
                <w:rFonts w:ascii="Arial" w:hAnsi="Arial" w:cs="Times"/>
                <w:color w:val="333333"/>
                <w:szCs w:val="28"/>
                <w:lang w:val="en-US"/>
              </w:rPr>
              <w:t>1614</w:t>
            </w:r>
            <w:r w:rsidRPr="00A154B0">
              <w:rPr>
                <w:rFonts w:ascii="Arial" w:hAnsi="Monaco" w:cs="Monaco"/>
                <w:color w:val="333333"/>
                <w:szCs w:val="28"/>
                <w:lang w:val="en-US"/>
              </w:rPr>
              <w:t>‑</w:t>
            </w:r>
            <w:r w:rsidRPr="00A154B0">
              <w:rPr>
                <w:rFonts w:ascii="Arial" w:hAnsi="Arial" w:cs="Times"/>
                <w:color w:val="333333"/>
                <w:szCs w:val="28"/>
                <w:lang w:val="en-US"/>
              </w:rPr>
              <w:t>May</w:t>
            </w:r>
            <w:r w:rsidRPr="00A154B0">
              <w:rPr>
                <w:rFonts w:ascii="Arial" w:hAnsi="Monaco" w:cs="Monaco"/>
                <w:color w:val="333333"/>
                <w:szCs w:val="28"/>
                <w:lang w:val="en-US"/>
              </w:rPr>
              <w:t>‑</w:t>
            </w:r>
            <w:r w:rsidRPr="00A154B0">
              <w:rPr>
                <w:rFonts w:ascii="Arial" w:hAnsi="Arial" w:cs="Times"/>
                <w:color w:val="333333"/>
                <w:szCs w:val="28"/>
                <w:lang w:val="en-US"/>
              </w:rPr>
              <w:t>13</w:t>
            </w:r>
          </w:p>
        </w:tc>
      </w:tr>
      <w:tr w:rsidR="00A8526A" w:rsidRPr="00A154B0">
        <w:tc>
          <w:tcPr>
            <w:tcW w:w="959" w:type="dxa"/>
            <w:tcMar>
              <w:top w:w="140" w:type="nil"/>
              <w:left w:w="100" w:type="nil"/>
              <w:bottom w:w="100" w:type="nil"/>
              <w:right w:w="140" w:type="nil"/>
            </w:tcMar>
          </w:tcPr>
          <w:p w:rsidR="00A8526A" w:rsidRPr="00A154B0" w:rsidRDefault="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color w:val="333333"/>
                <w:szCs w:val="28"/>
                <w:lang w:val="en-US"/>
              </w:rPr>
              <w:t>10</w:t>
            </w:r>
          </w:p>
        </w:tc>
        <w:tc>
          <w:tcPr>
            <w:tcW w:w="7654" w:type="dxa"/>
            <w:tcMar>
              <w:top w:w="140" w:type="nil"/>
              <w:left w:w="100" w:type="nil"/>
              <w:bottom w:w="100" w:type="nil"/>
              <w:right w:w="140" w:type="nil"/>
            </w:tcMar>
          </w:tcPr>
          <w:p w:rsidR="00A8526A" w:rsidRPr="00A154B0" w:rsidRDefault="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b/>
                <w:bCs/>
                <w:color w:val="333333"/>
                <w:szCs w:val="28"/>
                <w:lang w:val="en-US"/>
              </w:rPr>
              <w:t>Managed investment trusts — government response to the Board of Taxation review.</w:t>
            </w:r>
            <w:r w:rsidRPr="00A154B0">
              <w:rPr>
                <w:rFonts w:ascii="Arial" w:hAnsi="Arial" w:cs="Times"/>
                <w:color w:val="333333"/>
                <w:szCs w:val="28"/>
                <w:lang w:val="en-US"/>
              </w:rPr>
              <w:t xml:space="preserve"> Introduces a new tax regime for managed investment </w:t>
            </w:r>
            <w:proofErr w:type="gramStart"/>
            <w:r w:rsidRPr="00A154B0">
              <w:rPr>
                <w:rFonts w:ascii="Arial" w:hAnsi="Arial" w:cs="Times"/>
                <w:color w:val="333333"/>
                <w:szCs w:val="28"/>
                <w:lang w:val="en-US"/>
              </w:rPr>
              <w:t>trusts which</w:t>
            </w:r>
            <w:proofErr w:type="gramEnd"/>
            <w:r w:rsidRPr="00A154B0">
              <w:rPr>
                <w:rFonts w:ascii="Arial" w:hAnsi="Arial" w:cs="Times"/>
                <w:color w:val="333333"/>
                <w:szCs w:val="28"/>
                <w:lang w:val="en-US"/>
              </w:rPr>
              <w:t xml:space="preserve"> will increase certainty and reduce compliance costs.</w:t>
            </w:r>
          </w:p>
        </w:tc>
        <w:tc>
          <w:tcPr>
            <w:tcW w:w="2835" w:type="dxa"/>
            <w:tcMar>
              <w:top w:w="140" w:type="nil"/>
              <w:left w:w="100" w:type="nil"/>
              <w:bottom w:w="100" w:type="nil"/>
              <w:right w:w="140" w:type="nil"/>
            </w:tcMar>
          </w:tcPr>
          <w:p w:rsidR="00A8526A" w:rsidRPr="00A154B0" w:rsidRDefault="00A8526A">
            <w:pPr>
              <w:widowControl w:val="0"/>
              <w:autoSpaceDE w:val="0"/>
              <w:autoSpaceDN w:val="0"/>
              <w:adjustRightInd w:val="0"/>
              <w:spacing w:after="0" w:line="320" w:lineRule="atLeast"/>
              <w:rPr>
                <w:rFonts w:ascii="Arial" w:hAnsi="Arial" w:cs="Times"/>
                <w:color w:val="333333"/>
                <w:szCs w:val="28"/>
                <w:lang w:val="en-US"/>
              </w:rPr>
            </w:pPr>
          </w:p>
        </w:tc>
        <w:tc>
          <w:tcPr>
            <w:tcW w:w="2268" w:type="dxa"/>
            <w:tcMar>
              <w:top w:w="140" w:type="nil"/>
              <w:left w:w="100" w:type="nil"/>
              <w:bottom w:w="100" w:type="nil"/>
              <w:right w:w="140" w:type="nil"/>
            </w:tcMar>
          </w:tcPr>
          <w:p w:rsidR="00A8526A" w:rsidRPr="00A154B0" w:rsidRDefault="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color w:val="333333"/>
                <w:szCs w:val="28"/>
                <w:lang w:val="en-US"/>
              </w:rPr>
              <w:t>1</w:t>
            </w:r>
            <w:r w:rsidRPr="00A154B0">
              <w:rPr>
                <w:rFonts w:ascii="Arial" w:hAnsi="Monaco" w:cs="Monaco"/>
                <w:color w:val="333333"/>
                <w:szCs w:val="28"/>
                <w:lang w:val="en-US"/>
              </w:rPr>
              <w:t>‑</w:t>
            </w:r>
            <w:r w:rsidRPr="00A154B0">
              <w:rPr>
                <w:rFonts w:ascii="Arial" w:hAnsi="Arial" w:cs="Times"/>
                <w:color w:val="333333"/>
                <w:szCs w:val="28"/>
                <w:lang w:val="en-US"/>
              </w:rPr>
              <w:t>Jul</w:t>
            </w:r>
            <w:r w:rsidRPr="00A154B0">
              <w:rPr>
                <w:rFonts w:ascii="Arial" w:hAnsi="Monaco" w:cs="Monaco"/>
                <w:color w:val="333333"/>
                <w:szCs w:val="28"/>
                <w:lang w:val="en-US"/>
              </w:rPr>
              <w:t>‑</w:t>
            </w:r>
            <w:r w:rsidRPr="00A154B0">
              <w:rPr>
                <w:rFonts w:ascii="Arial" w:hAnsi="Arial" w:cs="Times"/>
                <w:color w:val="333333"/>
                <w:szCs w:val="28"/>
                <w:lang w:val="en-US"/>
              </w:rPr>
              <w:t>14</w:t>
            </w:r>
          </w:p>
        </w:tc>
      </w:tr>
      <w:tr w:rsidR="00A8526A" w:rsidRPr="00A154B0">
        <w:tc>
          <w:tcPr>
            <w:tcW w:w="959" w:type="dxa"/>
            <w:tcMar>
              <w:top w:w="140" w:type="nil"/>
              <w:left w:w="100" w:type="nil"/>
              <w:bottom w:w="100" w:type="nil"/>
              <w:right w:w="140" w:type="nil"/>
            </w:tcMar>
          </w:tcPr>
          <w:p w:rsidR="00A8526A" w:rsidRPr="00A154B0" w:rsidRDefault="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color w:val="333333"/>
                <w:szCs w:val="28"/>
                <w:lang w:val="en-US"/>
              </w:rPr>
              <w:t>11</w:t>
            </w:r>
          </w:p>
        </w:tc>
        <w:tc>
          <w:tcPr>
            <w:tcW w:w="7654" w:type="dxa"/>
            <w:tcMar>
              <w:top w:w="140" w:type="nil"/>
              <w:left w:w="100" w:type="nil"/>
              <w:bottom w:w="100" w:type="nil"/>
              <w:right w:w="140" w:type="nil"/>
            </w:tcMar>
          </w:tcPr>
          <w:p w:rsidR="00A8526A" w:rsidRPr="00A154B0" w:rsidRDefault="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b/>
                <w:bCs/>
                <w:color w:val="333333"/>
                <w:szCs w:val="28"/>
                <w:lang w:val="en-US"/>
              </w:rPr>
              <w:t xml:space="preserve">Protecting the corporate tax base from erosion and loopholes — preventing 'dividend washing.' </w:t>
            </w:r>
            <w:r w:rsidRPr="00A154B0">
              <w:rPr>
                <w:rFonts w:ascii="Arial" w:hAnsi="Arial" w:cs="Times"/>
                <w:color w:val="333333"/>
                <w:szCs w:val="28"/>
                <w:lang w:val="en-US"/>
              </w:rPr>
              <w:t>Closes a loophole that enables sophisticated investors to 'double dip' on franking credits.</w:t>
            </w:r>
          </w:p>
        </w:tc>
        <w:tc>
          <w:tcPr>
            <w:tcW w:w="2835" w:type="dxa"/>
            <w:tcMar>
              <w:top w:w="140" w:type="nil"/>
              <w:left w:w="100" w:type="nil"/>
              <w:bottom w:w="100" w:type="nil"/>
              <w:right w:w="140" w:type="nil"/>
            </w:tcMar>
          </w:tcPr>
          <w:p w:rsidR="00A8526A" w:rsidRPr="00A154B0" w:rsidRDefault="00A154B0">
            <w:pPr>
              <w:widowControl w:val="0"/>
              <w:autoSpaceDE w:val="0"/>
              <w:autoSpaceDN w:val="0"/>
              <w:adjustRightInd w:val="0"/>
              <w:spacing w:after="0" w:line="320" w:lineRule="atLeast"/>
              <w:rPr>
                <w:rFonts w:ascii="Arial" w:hAnsi="Arial" w:cs="Times"/>
                <w:color w:val="333333"/>
                <w:szCs w:val="28"/>
                <w:lang w:val="en-US"/>
              </w:rPr>
            </w:pPr>
            <w:r>
              <w:rPr>
                <w:rFonts w:ascii="Arial" w:hAnsi="Arial" w:cs="Times"/>
                <w:color w:val="333333"/>
                <w:szCs w:val="28"/>
                <w:lang w:val="en-US"/>
              </w:rPr>
              <w:t>Discussion Paper</w:t>
            </w:r>
          </w:p>
        </w:tc>
        <w:tc>
          <w:tcPr>
            <w:tcW w:w="2268" w:type="dxa"/>
            <w:tcMar>
              <w:top w:w="140" w:type="nil"/>
              <w:left w:w="100" w:type="nil"/>
              <w:bottom w:w="100" w:type="nil"/>
              <w:right w:w="140" w:type="nil"/>
            </w:tcMar>
          </w:tcPr>
          <w:p w:rsidR="00A8526A" w:rsidRPr="00A154B0" w:rsidRDefault="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color w:val="333333"/>
                <w:szCs w:val="28"/>
                <w:lang w:val="en-US"/>
              </w:rPr>
              <w:t>1</w:t>
            </w:r>
            <w:r w:rsidRPr="00A154B0">
              <w:rPr>
                <w:rFonts w:ascii="Arial" w:hAnsi="Monaco" w:cs="Monaco"/>
                <w:color w:val="333333"/>
                <w:szCs w:val="28"/>
                <w:lang w:val="en-US"/>
              </w:rPr>
              <w:t>‑</w:t>
            </w:r>
            <w:r w:rsidRPr="00A154B0">
              <w:rPr>
                <w:rFonts w:ascii="Arial" w:hAnsi="Arial" w:cs="Times"/>
                <w:color w:val="333333"/>
                <w:szCs w:val="28"/>
                <w:lang w:val="en-US"/>
              </w:rPr>
              <w:t>Jul</w:t>
            </w:r>
            <w:r w:rsidRPr="00A154B0">
              <w:rPr>
                <w:rFonts w:ascii="Arial" w:hAnsi="Monaco" w:cs="Monaco"/>
                <w:color w:val="333333"/>
                <w:szCs w:val="28"/>
                <w:lang w:val="en-US"/>
              </w:rPr>
              <w:t>‑</w:t>
            </w:r>
            <w:r w:rsidRPr="00A154B0">
              <w:rPr>
                <w:rFonts w:ascii="Arial" w:hAnsi="Arial" w:cs="Times"/>
                <w:color w:val="333333"/>
                <w:szCs w:val="28"/>
                <w:lang w:val="en-US"/>
              </w:rPr>
              <w:t>13</w:t>
            </w:r>
          </w:p>
        </w:tc>
      </w:tr>
      <w:tr w:rsidR="00A8526A" w:rsidRPr="00A154B0">
        <w:tc>
          <w:tcPr>
            <w:tcW w:w="959" w:type="dxa"/>
            <w:tcMar>
              <w:top w:w="140" w:type="nil"/>
              <w:left w:w="100" w:type="nil"/>
              <w:bottom w:w="100" w:type="nil"/>
              <w:right w:w="140" w:type="nil"/>
            </w:tcMar>
          </w:tcPr>
          <w:p w:rsidR="00A8526A" w:rsidRPr="00A154B0" w:rsidRDefault="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color w:val="333333"/>
                <w:szCs w:val="28"/>
                <w:lang w:val="en-US"/>
              </w:rPr>
              <w:t>12</w:t>
            </w:r>
          </w:p>
        </w:tc>
        <w:tc>
          <w:tcPr>
            <w:tcW w:w="7654" w:type="dxa"/>
            <w:tcMar>
              <w:top w:w="140" w:type="nil"/>
              <w:left w:w="100" w:type="nil"/>
              <w:bottom w:w="100" w:type="nil"/>
              <w:right w:w="140" w:type="nil"/>
            </w:tcMar>
          </w:tcPr>
          <w:p w:rsidR="00A8526A" w:rsidRPr="00A154B0" w:rsidRDefault="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b/>
                <w:bCs/>
                <w:color w:val="333333"/>
                <w:szCs w:val="28"/>
                <w:lang w:val="en-US"/>
              </w:rPr>
              <w:t>Farm finance — support for farmers — farm management deposits scheme.</w:t>
            </w:r>
            <w:r w:rsidRPr="00A154B0">
              <w:rPr>
                <w:rFonts w:ascii="Arial" w:hAnsi="Arial" w:cs="Times"/>
                <w:color w:val="333333"/>
                <w:szCs w:val="28"/>
                <w:lang w:val="en-US"/>
              </w:rPr>
              <w:t xml:space="preserve"> Increases the off</w:t>
            </w:r>
            <w:r w:rsidRPr="00A154B0">
              <w:rPr>
                <w:rFonts w:ascii="Arial" w:hAnsi="Monaco" w:cs="Monaco"/>
                <w:color w:val="333333"/>
                <w:szCs w:val="28"/>
                <w:lang w:val="en-US"/>
              </w:rPr>
              <w:t>‑</w:t>
            </w:r>
            <w:r w:rsidRPr="00A154B0">
              <w:rPr>
                <w:rFonts w:ascii="Arial" w:hAnsi="Arial" w:cs="Times"/>
                <w:color w:val="333333"/>
                <w:szCs w:val="28"/>
                <w:lang w:val="en-US"/>
              </w:rPr>
              <w:t>farm income exclusion threshold and facilitates consolidation of deposits.</w:t>
            </w:r>
          </w:p>
        </w:tc>
        <w:tc>
          <w:tcPr>
            <w:tcW w:w="2835" w:type="dxa"/>
            <w:tcMar>
              <w:top w:w="140" w:type="nil"/>
              <w:left w:w="100" w:type="nil"/>
              <w:bottom w:w="100" w:type="nil"/>
              <w:right w:w="140" w:type="nil"/>
            </w:tcMar>
          </w:tcPr>
          <w:p w:rsidR="00A8526A" w:rsidRPr="00A154B0" w:rsidRDefault="00592FA9">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color w:val="333333"/>
                <w:szCs w:val="28"/>
                <w:lang w:val="en-US"/>
              </w:rPr>
              <w:t xml:space="preserve">Tax and </w:t>
            </w:r>
            <w:proofErr w:type="gramStart"/>
            <w:r w:rsidRPr="00A154B0">
              <w:rPr>
                <w:rFonts w:ascii="Arial" w:hAnsi="Arial" w:cs="Times"/>
                <w:color w:val="333333"/>
                <w:szCs w:val="28"/>
                <w:lang w:val="en-US"/>
              </w:rPr>
              <w:t>Superannuation  Laws</w:t>
            </w:r>
            <w:proofErr w:type="gramEnd"/>
            <w:r w:rsidRPr="00A154B0">
              <w:rPr>
                <w:rFonts w:ascii="Arial" w:hAnsi="Arial" w:cs="Times"/>
                <w:color w:val="333333"/>
                <w:szCs w:val="28"/>
                <w:lang w:val="en-US"/>
              </w:rPr>
              <w:t xml:space="preserve"> Amendment (2014 Measures No 2) Bill 2014</w:t>
            </w:r>
          </w:p>
        </w:tc>
        <w:tc>
          <w:tcPr>
            <w:tcW w:w="2268" w:type="dxa"/>
            <w:tcMar>
              <w:top w:w="140" w:type="nil"/>
              <w:left w:w="100" w:type="nil"/>
              <w:bottom w:w="100" w:type="nil"/>
              <w:right w:w="140" w:type="nil"/>
            </w:tcMar>
          </w:tcPr>
          <w:p w:rsidR="00A8526A" w:rsidRPr="00A154B0" w:rsidRDefault="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color w:val="333333"/>
                <w:szCs w:val="28"/>
                <w:lang w:val="en-US"/>
              </w:rPr>
              <w:t>1</w:t>
            </w:r>
            <w:r w:rsidRPr="00A154B0">
              <w:rPr>
                <w:rFonts w:ascii="Arial" w:hAnsi="Monaco" w:cs="Monaco"/>
                <w:color w:val="333333"/>
                <w:szCs w:val="28"/>
                <w:lang w:val="en-US"/>
              </w:rPr>
              <w:t>‑</w:t>
            </w:r>
            <w:r w:rsidRPr="00A154B0">
              <w:rPr>
                <w:rFonts w:ascii="Arial" w:hAnsi="Arial" w:cs="Times"/>
                <w:color w:val="333333"/>
                <w:szCs w:val="28"/>
                <w:lang w:val="en-US"/>
              </w:rPr>
              <w:t>Jul</w:t>
            </w:r>
            <w:r w:rsidRPr="00A154B0">
              <w:rPr>
                <w:rFonts w:ascii="Arial" w:hAnsi="Monaco" w:cs="Monaco"/>
                <w:color w:val="333333"/>
                <w:szCs w:val="28"/>
                <w:lang w:val="en-US"/>
              </w:rPr>
              <w:t>‑</w:t>
            </w:r>
            <w:r w:rsidRPr="00A154B0">
              <w:rPr>
                <w:rFonts w:ascii="Arial" w:hAnsi="Arial" w:cs="Times"/>
                <w:color w:val="333333"/>
                <w:szCs w:val="28"/>
                <w:lang w:val="en-US"/>
              </w:rPr>
              <w:t>14</w:t>
            </w:r>
          </w:p>
        </w:tc>
      </w:tr>
      <w:tr w:rsidR="00A8526A" w:rsidRPr="00A154B0">
        <w:tc>
          <w:tcPr>
            <w:tcW w:w="959" w:type="dxa"/>
            <w:tcMar>
              <w:top w:w="140" w:type="nil"/>
              <w:left w:w="100" w:type="nil"/>
              <w:bottom w:w="100" w:type="nil"/>
              <w:right w:w="140" w:type="nil"/>
            </w:tcMar>
          </w:tcPr>
          <w:p w:rsidR="00A8526A" w:rsidRPr="00A154B0" w:rsidRDefault="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color w:val="333333"/>
                <w:szCs w:val="28"/>
                <w:lang w:val="en-US"/>
              </w:rPr>
              <w:t>13</w:t>
            </w:r>
          </w:p>
        </w:tc>
        <w:tc>
          <w:tcPr>
            <w:tcW w:w="7654" w:type="dxa"/>
            <w:tcMar>
              <w:top w:w="140" w:type="nil"/>
              <w:left w:w="100" w:type="nil"/>
              <w:bottom w:w="100" w:type="nil"/>
              <w:right w:w="140" w:type="nil"/>
            </w:tcMar>
          </w:tcPr>
          <w:p w:rsidR="00A8526A" w:rsidRPr="00A154B0" w:rsidRDefault="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b/>
                <w:bCs/>
                <w:color w:val="333333"/>
                <w:szCs w:val="28"/>
                <w:lang w:val="en-US"/>
              </w:rPr>
              <w:t>Philanthropy — updating the list of specifically listed deductible gift recipients— Bali Peace Park.</w:t>
            </w:r>
            <w:r w:rsidRPr="00A154B0">
              <w:rPr>
                <w:rFonts w:ascii="Arial" w:hAnsi="Arial" w:cs="Times"/>
                <w:color w:val="333333"/>
                <w:szCs w:val="28"/>
                <w:lang w:val="en-US"/>
              </w:rPr>
              <w:t xml:space="preserve"> Allows Bali Peace Park to collect gifts that are tax deductible for the donor.</w:t>
            </w:r>
          </w:p>
        </w:tc>
        <w:tc>
          <w:tcPr>
            <w:tcW w:w="2835" w:type="dxa"/>
            <w:tcMar>
              <w:top w:w="140" w:type="nil"/>
              <w:left w:w="100" w:type="nil"/>
              <w:bottom w:w="100" w:type="nil"/>
              <w:right w:w="140" w:type="nil"/>
            </w:tcMar>
          </w:tcPr>
          <w:p w:rsidR="00A8526A" w:rsidRPr="00A154B0" w:rsidRDefault="00592FA9">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color w:val="333333"/>
                <w:szCs w:val="28"/>
                <w:lang w:val="en-US"/>
              </w:rPr>
              <w:t xml:space="preserve">Tax and </w:t>
            </w:r>
            <w:proofErr w:type="gramStart"/>
            <w:r w:rsidRPr="00A154B0">
              <w:rPr>
                <w:rFonts w:ascii="Arial" w:hAnsi="Arial" w:cs="Times"/>
                <w:color w:val="333333"/>
                <w:szCs w:val="28"/>
                <w:lang w:val="en-US"/>
              </w:rPr>
              <w:t>Superannuation  Laws</w:t>
            </w:r>
            <w:proofErr w:type="gramEnd"/>
            <w:r w:rsidRPr="00A154B0">
              <w:rPr>
                <w:rFonts w:ascii="Arial" w:hAnsi="Arial" w:cs="Times"/>
                <w:color w:val="333333"/>
                <w:szCs w:val="28"/>
                <w:lang w:val="en-US"/>
              </w:rPr>
              <w:t xml:space="preserve"> Amendment (2014 Measures No 1) Bill 2014</w:t>
            </w:r>
          </w:p>
        </w:tc>
        <w:tc>
          <w:tcPr>
            <w:tcW w:w="2268" w:type="dxa"/>
            <w:tcMar>
              <w:top w:w="140" w:type="nil"/>
              <w:left w:w="100" w:type="nil"/>
              <w:bottom w:w="100" w:type="nil"/>
              <w:right w:w="140" w:type="nil"/>
            </w:tcMar>
          </w:tcPr>
          <w:p w:rsidR="00A8526A" w:rsidRPr="00A154B0" w:rsidRDefault="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color w:val="333333"/>
                <w:szCs w:val="28"/>
                <w:lang w:val="en-US"/>
              </w:rPr>
              <w:t>16</w:t>
            </w:r>
            <w:r w:rsidRPr="00A154B0">
              <w:rPr>
                <w:rFonts w:ascii="Arial" w:hAnsi="Monaco" w:cs="Monaco"/>
                <w:color w:val="333333"/>
                <w:szCs w:val="28"/>
                <w:lang w:val="en-US"/>
              </w:rPr>
              <w:t>‑</w:t>
            </w:r>
            <w:r w:rsidRPr="00A154B0">
              <w:rPr>
                <w:rFonts w:ascii="Arial" w:hAnsi="Arial" w:cs="Times"/>
                <w:color w:val="333333"/>
                <w:szCs w:val="28"/>
                <w:lang w:val="en-US"/>
              </w:rPr>
              <w:t>Dec</w:t>
            </w:r>
            <w:r w:rsidRPr="00A154B0">
              <w:rPr>
                <w:rFonts w:ascii="Arial" w:hAnsi="Monaco" w:cs="Monaco"/>
                <w:color w:val="333333"/>
                <w:szCs w:val="28"/>
                <w:lang w:val="en-US"/>
              </w:rPr>
              <w:t>‑</w:t>
            </w:r>
            <w:r w:rsidRPr="00A154B0">
              <w:rPr>
                <w:rFonts w:ascii="Arial" w:hAnsi="Arial" w:cs="Times"/>
                <w:color w:val="333333"/>
                <w:szCs w:val="28"/>
                <w:lang w:val="en-US"/>
              </w:rPr>
              <w:t>11</w:t>
            </w:r>
          </w:p>
        </w:tc>
      </w:tr>
      <w:tr w:rsidR="00A8526A" w:rsidRPr="00A154B0">
        <w:tc>
          <w:tcPr>
            <w:tcW w:w="959" w:type="dxa"/>
            <w:tcMar>
              <w:top w:w="140" w:type="nil"/>
              <w:left w:w="100" w:type="nil"/>
              <w:bottom w:w="100" w:type="nil"/>
              <w:right w:w="140" w:type="nil"/>
            </w:tcMar>
          </w:tcPr>
          <w:p w:rsidR="00A8526A" w:rsidRPr="00A154B0" w:rsidRDefault="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color w:val="333333"/>
                <w:szCs w:val="28"/>
                <w:lang w:val="en-US"/>
              </w:rPr>
              <w:t>14</w:t>
            </w:r>
          </w:p>
        </w:tc>
        <w:tc>
          <w:tcPr>
            <w:tcW w:w="7654" w:type="dxa"/>
            <w:tcMar>
              <w:top w:w="140" w:type="nil"/>
              <w:left w:w="100" w:type="nil"/>
              <w:bottom w:w="100" w:type="nil"/>
              <w:right w:w="140" w:type="nil"/>
            </w:tcMar>
          </w:tcPr>
          <w:p w:rsidR="00A8526A" w:rsidRPr="00A154B0" w:rsidRDefault="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b/>
                <w:bCs/>
                <w:color w:val="333333"/>
                <w:szCs w:val="28"/>
                <w:lang w:val="en-US"/>
              </w:rPr>
              <w:t>Philanthropy — updating the list of specifically listed deductible gift recipients — National Arboretum Canberra</w:t>
            </w:r>
            <w:r w:rsidRPr="00A154B0">
              <w:rPr>
                <w:rFonts w:ascii="Arial" w:hAnsi="Arial" w:cs="Times"/>
                <w:color w:val="333333"/>
                <w:szCs w:val="28"/>
                <w:lang w:val="en-US"/>
              </w:rPr>
              <w:t>. Allows the National Arboretum Canberra to collect gifts that are tax deductible for the donor.</w:t>
            </w:r>
          </w:p>
        </w:tc>
        <w:tc>
          <w:tcPr>
            <w:tcW w:w="2835" w:type="dxa"/>
            <w:tcMar>
              <w:top w:w="140" w:type="nil"/>
              <w:left w:w="100" w:type="nil"/>
              <w:bottom w:w="100" w:type="nil"/>
              <w:right w:w="140" w:type="nil"/>
            </w:tcMar>
          </w:tcPr>
          <w:p w:rsidR="00A8526A" w:rsidRPr="00A154B0" w:rsidRDefault="00592FA9">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color w:val="333333"/>
                <w:szCs w:val="28"/>
                <w:lang w:val="en-US"/>
              </w:rPr>
              <w:t xml:space="preserve">Tax and </w:t>
            </w:r>
            <w:proofErr w:type="gramStart"/>
            <w:r w:rsidRPr="00A154B0">
              <w:rPr>
                <w:rFonts w:ascii="Arial" w:hAnsi="Arial" w:cs="Times"/>
                <w:color w:val="333333"/>
                <w:szCs w:val="28"/>
                <w:lang w:val="en-US"/>
              </w:rPr>
              <w:t>Superannuation  Laws</w:t>
            </w:r>
            <w:proofErr w:type="gramEnd"/>
            <w:r w:rsidRPr="00A154B0">
              <w:rPr>
                <w:rFonts w:ascii="Arial" w:hAnsi="Arial" w:cs="Times"/>
                <w:color w:val="333333"/>
                <w:szCs w:val="28"/>
                <w:lang w:val="en-US"/>
              </w:rPr>
              <w:t xml:space="preserve"> Amendment (2014 Measures No 1) Bill 2014</w:t>
            </w:r>
          </w:p>
        </w:tc>
        <w:tc>
          <w:tcPr>
            <w:tcW w:w="2268" w:type="dxa"/>
            <w:tcMar>
              <w:top w:w="140" w:type="nil"/>
              <w:left w:w="100" w:type="nil"/>
              <w:bottom w:w="100" w:type="nil"/>
              <w:right w:w="140" w:type="nil"/>
            </w:tcMar>
          </w:tcPr>
          <w:p w:rsidR="00A8526A" w:rsidRPr="00A154B0" w:rsidRDefault="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color w:val="333333"/>
                <w:szCs w:val="28"/>
                <w:lang w:val="en-US"/>
              </w:rPr>
              <w:t>1</w:t>
            </w:r>
            <w:r w:rsidRPr="00A154B0">
              <w:rPr>
                <w:rFonts w:ascii="Arial" w:hAnsi="Monaco" w:cs="Monaco"/>
                <w:color w:val="333333"/>
                <w:szCs w:val="28"/>
                <w:lang w:val="en-US"/>
              </w:rPr>
              <w:t>‑</w:t>
            </w:r>
            <w:r w:rsidRPr="00A154B0">
              <w:rPr>
                <w:rFonts w:ascii="Arial" w:hAnsi="Arial" w:cs="Times"/>
                <w:color w:val="333333"/>
                <w:szCs w:val="28"/>
                <w:lang w:val="en-US"/>
              </w:rPr>
              <w:t>Jul</w:t>
            </w:r>
            <w:r w:rsidRPr="00A154B0">
              <w:rPr>
                <w:rFonts w:ascii="Arial" w:hAnsi="Monaco" w:cs="Monaco"/>
                <w:color w:val="333333"/>
                <w:szCs w:val="28"/>
                <w:lang w:val="en-US"/>
              </w:rPr>
              <w:t>‑</w:t>
            </w:r>
            <w:r w:rsidRPr="00A154B0">
              <w:rPr>
                <w:rFonts w:ascii="Arial" w:hAnsi="Arial" w:cs="Times"/>
                <w:color w:val="333333"/>
                <w:szCs w:val="28"/>
                <w:lang w:val="en-US"/>
              </w:rPr>
              <w:t>13</w:t>
            </w:r>
          </w:p>
        </w:tc>
      </w:tr>
      <w:tr w:rsidR="00A8526A" w:rsidRPr="00A154B0">
        <w:tc>
          <w:tcPr>
            <w:tcW w:w="959" w:type="dxa"/>
            <w:tcMar>
              <w:top w:w="140" w:type="nil"/>
              <w:left w:w="100" w:type="nil"/>
              <w:bottom w:w="100" w:type="nil"/>
              <w:right w:w="140" w:type="nil"/>
            </w:tcMar>
          </w:tcPr>
          <w:p w:rsidR="00A8526A" w:rsidRPr="00A154B0" w:rsidRDefault="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color w:val="333333"/>
                <w:szCs w:val="28"/>
                <w:lang w:val="en-US"/>
              </w:rPr>
              <w:t>15</w:t>
            </w:r>
          </w:p>
        </w:tc>
        <w:tc>
          <w:tcPr>
            <w:tcW w:w="7654" w:type="dxa"/>
            <w:tcMar>
              <w:top w:w="140" w:type="nil"/>
              <w:left w:w="100" w:type="nil"/>
              <w:bottom w:w="100" w:type="nil"/>
              <w:right w:w="140" w:type="nil"/>
            </w:tcMar>
          </w:tcPr>
          <w:p w:rsidR="00A8526A" w:rsidRPr="00A154B0" w:rsidRDefault="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b/>
                <w:bCs/>
                <w:color w:val="333333"/>
                <w:szCs w:val="28"/>
                <w:lang w:val="en-US"/>
              </w:rPr>
              <w:t>Foreign Account Tax Compliance Act — Australia and the US commence discussions.</w:t>
            </w:r>
            <w:r w:rsidRPr="00A154B0">
              <w:rPr>
                <w:rFonts w:ascii="Arial" w:hAnsi="Arial" w:cs="Times"/>
                <w:color w:val="333333"/>
                <w:szCs w:val="28"/>
                <w:lang w:val="en-US"/>
              </w:rPr>
              <w:t xml:space="preserve"> To work towards signing and enacting a treaty</w:t>
            </w:r>
            <w:r w:rsidRPr="00A154B0">
              <w:rPr>
                <w:rFonts w:ascii="Arial" w:hAnsi="Monaco" w:cs="Monaco"/>
                <w:color w:val="333333"/>
                <w:szCs w:val="28"/>
                <w:lang w:val="en-US"/>
              </w:rPr>
              <w:t>‑</w:t>
            </w:r>
            <w:r w:rsidRPr="00A154B0">
              <w:rPr>
                <w:rFonts w:ascii="Arial" w:hAnsi="Arial" w:cs="Times"/>
                <w:color w:val="333333"/>
                <w:szCs w:val="28"/>
                <w:lang w:val="en-US"/>
              </w:rPr>
              <w:t>status IGA with the US to enable the financial sector to comply with US FATCA reporting rules.</w:t>
            </w:r>
          </w:p>
        </w:tc>
        <w:tc>
          <w:tcPr>
            <w:tcW w:w="2835" w:type="dxa"/>
            <w:tcMar>
              <w:top w:w="140" w:type="nil"/>
              <w:left w:w="100" w:type="nil"/>
              <w:bottom w:w="100" w:type="nil"/>
              <w:right w:w="140" w:type="nil"/>
            </w:tcMar>
          </w:tcPr>
          <w:p w:rsidR="00A8526A" w:rsidRPr="00A154B0" w:rsidRDefault="00A8526A">
            <w:pPr>
              <w:widowControl w:val="0"/>
              <w:autoSpaceDE w:val="0"/>
              <w:autoSpaceDN w:val="0"/>
              <w:adjustRightInd w:val="0"/>
              <w:spacing w:after="0" w:line="320" w:lineRule="atLeast"/>
              <w:rPr>
                <w:rFonts w:ascii="Arial" w:hAnsi="Arial" w:cs="Times"/>
                <w:color w:val="333333"/>
                <w:szCs w:val="28"/>
                <w:lang w:val="en-US"/>
              </w:rPr>
            </w:pPr>
          </w:p>
        </w:tc>
        <w:tc>
          <w:tcPr>
            <w:tcW w:w="2268" w:type="dxa"/>
            <w:tcMar>
              <w:top w:w="140" w:type="nil"/>
              <w:left w:w="100" w:type="nil"/>
              <w:bottom w:w="100" w:type="nil"/>
              <w:right w:w="140" w:type="nil"/>
            </w:tcMar>
          </w:tcPr>
          <w:p w:rsidR="00A8526A" w:rsidRPr="00A154B0" w:rsidRDefault="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color w:val="333333"/>
                <w:szCs w:val="28"/>
                <w:lang w:val="en-US"/>
              </w:rPr>
              <w:t>Royal Assent</w:t>
            </w:r>
          </w:p>
        </w:tc>
      </w:tr>
      <w:tr w:rsidR="00A8526A" w:rsidRPr="00A154B0">
        <w:tc>
          <w:tcPr>
            <w:tcW w:w="959" w:type="dxa"/>
            <w:tcMar>
              <w:top w:w="140" w:type="nil"/>
              <w:left w:w="100" w:type="nil"/>
              <w:bottom w:w="100" w:type="nil"/>
              <w:right w:w="140" w:type="nil"/>
            </w:tcMar>
          </w:tcPr>
          <w:p w:rsidR="00A8526A" w:rsidRPr="00A154B0" w:rsidRDefault="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color w:val="333333"/>
                <w:szCs w:val="28"/>
                <w:lang w:val="en-US"/>
              </w:rPr>
              <w:t>16</w:t>
            </w:r>
          </w:p>
        </w:tc>
        <w:tc>
          <w:tcPr>
            <w:tcW w:w="7654" w:type="dxa"/>
            <w:tcMar>
              <w:top w:w="140" w:type="nil"/>
              <w:left w:w="100" w:type="nil"/>
              <w:bottom w:w="100" w:type="nil"/>
              <w:right w:w="140" w:type="nil"/>
            </w:tcMar>
          </w:tcPr>
          <w:p w:rsidR="00A8526A" w:rsidRPr="00A154B0" w:rsidRDefault="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b/>
                <w:bCs/>
                <w:color w:val="333333"/>
                <w:szCs w:val="28"/>
                <w:lang w:val="en-US"/>
              </w:rPr>
              <w:t>International tax — revised Australia</w:t>
            </w:r>
            <w:r w:rsidRPr="00A154B0">
              <w:rPr>
                <w:rFonts w:ascii="Arial" w:hAnsi="Monaco" w:cs="Monaco"/>
                <w:b/>
                <w:bCs/>
                <w:color w:val="333333"/>
                <w:szCs w:val="28"/>
                <w:lang w:val="en-US"/>
              </w:rPr>
              <w:t>‑</w:t>
            </w:r>
            <w:r w:rsidRPr="00A154B0">
              <w:rPr>
                <w:rFonts w:ascii="Arial" w:hAnsi="Arial" w:cs="Times"/>
                <w:b/>
                <w:bCs/>
                <w:color w:val="333333"/>
                <w:szCs w:val="28"/>
                <w:lang w:val="en-US"/>
              </w:rPr>
              <w:t>Switzerland tax treaty.</w:t>
            </w:r>
            <w:r w:rsidRPr="00A154B0">
              <w:rPr>
                <w:rFonts w:ascii="Arial" w:hAnsi="Arial" w:cs="Times"/>
                <w:color w:val="333333"/>
                <w:szCs w:val="28"/>
                <w:lang w:val="en-US"/>
              </w:rPr>
              <w:t xml:space="preserve"> Gives force of law to the revised Australia</w:t>
            </w:r>
            <w:r w:rsidRPr="00A154B0">
              <w:rPr>
                <w:rFonts w:ascii="Arial" w:hAnsi="Monaco" w:cs="Monaco"/>
                <w:color w:val="333333"/>
                <w:szCs w:val="28"/>
                <w:lang w:val="en-US"/>
              </w:rPr>
              <w:t>‑</w:t>
            </w:r>
            <w:r w:rsidRPr="00A154B0">
              <w:rPr>
                <w:rFonts w:ascii="Arial" w:hAnsi="Arial" w:cs="Times"/>
                <w:color w:val="333333"/>
                <w:szCs w:val="28"/>
                <w:lang w:val="en-US"/>
              </w:rPr>
              <w:t>Switzerland tax treaty.</w:t>
            </w:r>
          </w:p>
        </w:tc>
        <w:tc>
          <w:tcPr>
            <w:tcW w:w="2835" w:type="dxa"/>
            <w:tcMar>
              <w:top w:w="140" w:type="nil"/>
              <w:left w:w="100" w:type="nil"/>
              <w:bottom w:w="100" w:type="nil"/>
              <w:right w:w="140" w:type="nil"/>
            </w:tcMar>
          </w:tcPr>
          <w:p w:rsidR="00A8526A" w:rsidRPr="00A154B0" w:rsidRDefault="00A8526A">
            <w:pPr>
              <w:widowControl w:val="0"/>
              <w:autoSpaceDE w:val="0"/>
              <w:autoSpaceDN w:val="0"/>
              <w:adjustRightInd w:val="0"/>
              <w:spacing w:after="0" w:line="320" w:lineRule="atLeast"/>
              <w:rPr>
                <w:rFonts w:ascii="Arial" w:hAnsi="Arial" w:cs="Times"/>
                <w:color w:val="333333"/>
                <w:szCs w:val="28"/>
                <w:lang w:val="en-US"/>
              </w:rPr>
            </w:pPr>
          </w:p>
        </w:tc>
        <w:tc>
          <w:tcPr>
            <w:tcW w:w="2268" w:type="dxa"/>
            <w:tcMar>
              <w:top w:w="140" w:type="nil"/>
              <w:left w:w="100" w:type="nil"/>
              <w:bottom w:w="100" w:type="nil"/>
              <w:right w:w="140" w:type="nil"/>
            </w:tcMar>
          </w:tcPr>
          <w:p w:rsidR="00A8526A" w:rsidRPr="00A154B0" w:rsidRDefault="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color w:val="333333"/>
                <w:szCs w:val="28"/>
                <w:lang w:val="en-US"/>
              </w:rPr>
              <w:t>1</w:t>
            </w:r>
            <w:r w:rsidRPr="00A154B0">
              <w:rPr>
                <w:rFonts w:ascii="Arial" w:hAnsi="Monaco" w:cs="Monaco"/>
                <w:color w:val="333333"/>
                <w:szCs w:val="28"/>
                <w:lang w:val="en-US"/>
              </w:rPr>
              <w:t>‑</w:t>
            </w:r>
            <w:r w:rsidRPr="00A154B0">
              <w:rPr>
                <w:rFonts w:ascii="Arial" w:hAnsi="Arial" w:cs="Times"/>
                <w:color w:val="333333"/>
                <w:szCs w:val="28"/>
                <w:lang w:val="en-US"/>
              </w:rPr>
              <w:t>Jul</w:t>
            </w:r>
            <w:r w:rsidRPr="00A154B0">
              <w:rPr>
                <w:rFonts w:ascii="Arial" w:hAnsi="Monaco" w:cs="Monaco"/>
                <w:color w:val="333333"/>
                <w:szCs w:val="28"/>
                <w:lang w:val="en-US"/>
              </w:rPr>
              <w:t>‑</w:t>
            </w:r>
            <w:r w:rsidRPr="00A154B0">
              <w:rPr>
                <w:rFonts w:ascii="Arial" w:hAnsi="Arial" w:cs="Times"/>
                <w:color w:val="333333"/>
                <w:szCs w:val="28"/>
                <w:lang w:val="en-US"/>
              </w:rPr>
              <w:t>15</w:t>
            </w:r>
          </w:p>
        </w:tc>
      </w:tr>
      <w:tr w:rsidR="00A8526A" w:rsidRPr="00A154B0">
        <w:tc>
          <w:tcPr>
            <w:tcW w:w="959" w:type="dxa"/>
            <w:tcMar>
              <w:top w:w="140" w:type="nil"/>
              <w:left w:w="100" w:type="nil"/>
              <w:bottom w:w="100" w:type="nil"/>
              <w:right w:w="140" w:type="nil"/>
            </w:tcMar>
          </w:tcPr>
          <w:p w:rsidR="00A8526A" w:rsidRPr="00A154B0" w:rsidRDefault="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color w:val="333333"/>
                <w:szCs w:val="28"/>
                <w:lang w:val="en-US"/>
              </w:rPr>
              <w:t>17</w:t>
            </w:r>
          </w:p>
        </w:tc>
        <w:tc>
          <w:tcPr>
            <w:tcW w:w="7654" w:type="dxa"/>
            <w:tcMar>
              <w:top w:w="140" w:type="nil"/>
              <w:left w:w="100" w:type="nil"/>
              <w:bottom w:w="100" w:type="nil"/>
              <w:right w:w="140" w:type="nil"/>
            </w:tcMar>
          </w:tcPr>
          <w:p w:rsidR="00A8526A" w:rsidRPr="00A154B0" w:rsidRDefault="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b/>
                <w:bCs/>
                <w:color w:val="333333"/>
                <w:szCs w:val="28"/>
                <w:lang w:val="en-US"/>
              </w:rPr>
              <w:t>Managed investment trust withholding tax — providing certainty for foreign pension funds.</w:t>
            </w:r>
            <w:r w:rsidRPr="00A154B0">
              <w:rPr>
                <w:rFonts w:ascii="Arial" w:hAnsi="Arial" w:cs="Times"/>
                <w:color w:val="333333"/>
                <w:szCs w:val="28"/>
                <w:lang w:val="en-US"/>
              </w:rPr>
              <w:t xml:space="preserve"> Allows pension funds to access the managed investment trust withholding tax regime (as intended).</w:t>
            </w:r>
          </w:p>
        </w:tc>
        <w:tc>
          <w:tcPr>
            <w:tcW w:w="2835" w:type="dxa"/>
            <w:tcMar>
              <w:top w:w="140" w:type="nil"/>
              <w:left w:w="100" w:type="nil"/>
              <w:bottom w:w="100" w:type="nil"/>
              <w:right w:w="140" w:type="nil"/>
            </w:tcMar>
          </w:tcPr>
          <w:p w:rsidR="00A8526A" w:rsidRPr="00A154B0" w:rsidRDefault="00A8526A">
            <w:pPr>
              <w:widowControl w:val="0"/>
              <w:autoSpaceDE w:val="0"/>
              <w:autoSpaceDN w:val="0"/>
              <w:adjustRightInd w:val="0"/>
              <w:spacing w:after="0" w:line="320" w:lineRule="atLeast"/>
              <w:rPr>
                <w:rFonts w:ascii="Arial" w:hAnsi="Arial" w:cs="Times"/>
                <w:color w:val="333333"/>
                <w:szCs w:val="28"/>
                <w:lang w:val="en-US"/>
              </w:rPr>
            </w:pPr>
          </w:p>
        </w:tc>
        <w:tc>
          <w:tcPr>
            <w:tcW w:w="2268" w:type="dxa"/>
            <w:tcMar>
              <w:top w:w="140" w:type="nil"/>
              <w:left w:w="100" w:type="nil"/>
              <w:bottom w:w="100" w:type="nil"/>
              <w:right w:w="140" w:type="nil"/>
            </w:tcMar>
          </w:tcPr>
          <w:p w:rsidR="00A8526A" w:rsidRPr="00A154B0" w:rsidRDefault="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color w:val="333333"/>
                <w:szCs w:val="28"/>
                <w:lang w:val="en-US"/>
              </w:rPr>
              <w:t>1</w:t>
            </w:r>
            <w:r w:rsidRPr="00A154B0">
              <w:rPr>
                <w:rFonts w:ascii="Arial" w:hAnsi="Monaco" w:cs="Monaco"/>
                <w:color w:val="333333"/>
                <w:szCs w:val="28"/>
                <w:lang w:val="en-US"/>
              </w:rPr>
              <w:t>‑</w:t>
            </w:r>
            <w:r w:rsidRPr="00A154B0">
              <w:rPr>
                <w:rFonts w:ascii="Arial" w:hAnsi="Arial" w:cs="Times"/>
                <w:color w:val="333333"/>
                <w:szCs w:val="28"/>
                <w:lang w:val="en-US"/>
              </w:rPr>
              <w:t>Jul</w:t>
            </w:r>
            <w:r w:rsidRPr="00A154B0">
              <w:rPr>
                <w:rFonts w:ascii="Arial" w:hAnsi="Monaco" w:cs="Monaco"/>
                <w:color w:val="333333"/>
                <w:szCs w:val="28"/>
                <w:lang w:val="en-US"/>
              </w:rPr>
              <w:t>‑</w:t>
            </w:r>
            <w:r w:rsidRPr="00A154B0">
              <w:rPr>
                <w:rFonts w:ascii="Arial" w:hAnsi="Arial" w:cs="Times"/>
                <w:color w:val="333333"/>
                <w:szCs w:val="28"/>
                <w:lang w:val="en-US"/>
              </w:rPr>
              <w:t>08</w:t>
            </w:r>
          </w:p>
        </w:tc>
      </w:tr>
      <w:tr w:rsidR="00A8526A" w:rsidRPr="00A154B0">
        <w:tc>
          <w:tcPr>
            <w:tcW w:w="959" w:type="dxa"/>
            <w:tcMar>
              <w:top w:w="140" w:type="nil"/>
              <w:left w:w="100" w:type="nil"/>
              <w:bottom w:w="100" w:type="nil"/>
              <w:right w:w="140" w:type="nil"/>
            </w:tcMar>
          </w:tcPr>
          <w:p w:rsidR="00A8526A" w:rsidRPr="00A154B0" w:rsidRDefault="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color w:val="333333"/>
                <w:szCs w:val="28"/>
                <w:lang w:val="en-US"/>
              </w:rPr>
              <w:t>18</w:t>
            </w:r>
          </w:p>
        </w:tc>
        <w:tc>
          <w:tcPr>
            <w:tcW w:w="7654" w:type="dxa"/>
            <w:tcMar>
              <w:top w:w="140" w:type="nil"/>
              <w:left w:w="100" w:type="nil"/>
              <w:bottom w:w="100" w:type="nil"/>
              <w:right w:w="140" w:type="nil"/>
            </w:tcMar>
          </w:tcPr>
          <w:p w:rsidR="00A8526A" w:rsidRPr="00A154B0" w:rsidRDefault="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b/>
                <w:bCs/>
                <w:color w:val="333333"/>
                <w:szCs w:val="28"/>
                <w:lang w:val="en-US"/>
              </w:rPr>
              <w:t>International tax — investment manager regime prospective arrangements (element 3).</w:t>
            </w:r>
            <w:r w:rsidRPr="00A154B0">
              <w:rPr>
                <w:rFonts w:ascii="Arial" w:hAnsi="Arial" w:cs="Times"/>
                <w:color w:val="333333"/>
                <w:szCs w:val="28"/>
                <w:lang w:val="en-US"/>
              </w:rPr>
              <w:t xml:space="preserve"> Extends the conduit income measure to exempt foreign managed funds from tax on gains from the disposal of foreign non</w:t>
            </w:r>
            <w:r w:rsidRPr="00A154B0">
              <w:rPr>
                <w:rFonts w:ascii="Arial" w:hAnsi="Monaco" w:cs="Monaco"/>
                <w:color w:val="333333"/>
                <w:szCs w:val="28"/>
                <w:lang w:val="en-US"/>
              </w:rPr>
              <w:t>‑</w:t>
            </w:r>
            <w:r w:rsidRPr="00A154B0">
              <w:rPr>
                <w:rFonts w:ascii="Arial" w:hAnsi="Arial" w:cs="Times"/>
                <w:color w:val="333333"/>
                <w:szCs w:val="28"/>
                <w:lang w:val="en-US"/>
              </w:rPr>
              <w:t>portfolio investments; and to exempt those funds from tax on gains from the disposal of certain portfolio Australian financial arrangements.</w:t>
            </w:r>
          </w:p>
        </w:tc>
        <w:tc>
          <w:tcPr>
            <w:tcW w:w="2835" w:type="dxa"/>
            <w:tcMar>
              <w:top w:w="140" w:type="nil"/>
              <w:left w:w="100" w:type="nil"/>
              <w:bottom w:w="100" w:type="nil"/>
              <w:right w:w="140" w:type="nil"/>
            </w:tcMar>
          </w:tcPr>
          <w:p w:rsidR="00A8526A" w:rsidRPr="00A154B0" w:rsidRDefault="00A154B0">
            <w:pPr>
              <w:widowControl w:val="0"/>
              <w:autoSpaceDE w:val="0"/>
              <w:autoSpaceDN w:val="0"/>
              <w:adjustRightInd w:val="0"/>
              <w:spacing w:after="0" w:line="320" w:lineRule="atLeast"/>
              <w:rPr>
                <w:rFonts w:ascii="Arial" w:hAnsi="Arial" w:cs="Times"/>
                <w:color w:val="333333"/>
                <w:szCs w:val="28"/>
                <w:lang w:val="en-US"/>
              </w:rPr>
            </w:pPr>
            <w:r>
              <w:rPr>
                <w:rFonts w:ascii="Arial" w:hAnsi="Arial" w:cs="Times"/>
                <w:color w:val="333333"/>
                <w:szCs w:val="28"/>
                <w:lang w:val="en-US"/>
              </w:rPr>
              <w:t>Draft Legislation</w:t>
            </w:r>
          </w:p>
        </w:tc>
        <w:tc>
          <w:tcPr>
            <w:tcW w:w="2268" w:type="dxa"/>
            <w:tcMar>
              <w:top w:w="140" w:type="nil"/>
              <w:left w:w="100" w:type="nil"/>
              <w:bottom w:w="100" w:type="nil"/>
              <w:right w:w="140" w:type="nil"/>
            </w:tcMar>
          </w:tcPr>
          <w:p w:rsidR="00A8526A" w:rsidRPr="00A154B0" w:rsidRDefault="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color w:val="333333"/>
                <w:szCs w:val="28"/>
                <w:lang w:val="en-US"/>
              </w:rPr>
              <w:t>1</w:t>
            </w:r>
            <w:r w:rsidRPr="00A154B0">
              <w:rPr>
                <w:rFonts w:ascii="Arial" w:hAnsi="Monaco" w:cs="Monaco"/>
                <w:color w:val="333333"/>
                <w:szCs w:val="28"/>
                <w:lang w:val="en-US"/>
              </w:rPr>
              <w:t>‑</w:t>
            </w:r>
            <w:r w:rsidRPr="00A154B0">
              <w:rPr>
                <w:rFonts w:ascii="Arial" w:hAnsi="Arial" w:cs="Times"/>
                <w:color w:val="333333"/>
                <w:szCs w:val="28"/>
                <w:lang w:val="en-US"/>
              </w:rPr>
              <w:t>Jul</w:t>
            </w:r>
            <w:r w:rsidRPr="00A154B0">
              <w:rPr>
                <w:rFonts w:ascii="Arial" w:hAnsi="Monaco" w:cs="Monaco"/>
                <w:color w:val="333333"/>
                <w:szCs w:val="28"/>
                <w:lang w:val="en-US"/>
              </w:rPr>
              <w:t>‑</w:t>
            </w:r>
            <w:r w:rsidRPr="00A154B0">
              <w:rPr>
                <w:rFonts w:ascii="Arial" w:hAnsi="Arial" w:cs="Times"/>
                <w:color w:val="333333"/>
                <w:szCs w:val="28"/>
                <w:lang w:val="en-US"/>
              </w:rPr>
              <w:t>11</w:t>
            </w:r>
          </w:p>
        </w:tc>
      </w:tr>
      <w:tr w:rsidR="00A8526A" w:rsidRPr="00A154B0">
        <w:tc>
          <w:tcPr>
            <w:tcW w:w="959" w:type="dxa"/>
            <w:tcMar>
              <w:top w:w="140" w:type="nil"/>
              <w:left w:w="100" w:type="nil"/>
              <w:bottom w:w="100" w:type="nil"/>
              <w:right w:w="140" w:type="nil"/>
            </w:tcMar>
          </w:tcPr>
          <w:p w:rsidR="00A8526A" w:rsidRPr="00A154B0" w:rsidRDefault="002D4FD0" w:rsidP="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color w:val="333333"/>
                <w:szCs w:val="28"/>
                <w:lang w:val="en-US"/>
              </w:rPr>
              <w:t>19</w:t>
            </w:r>
          </w:p>
        </w:tc>
        <w:tc>
          <w:tcPr>
            <w:tcW w:w="7654" w:type="dxa"/>
            <w:tcMar>
              <w:top w:w="140" w:type="nil"/>
              <w:left w:w="100" w:type="nil"/>
              <w:bottom w:w="100" w:type="nil"/>
              <w:right w:w="140" w:type="nil"/>
            </w:tcMar>
          </w:tcPr>
          <w:p w:rsidR="00A8526A" w:rsidRPr="00A154B0" w:rsidRDefault="00A8526A" w:rsidP="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b/>
                <w:bCs/>
                <w:color w:val="333333"/>
                <w:szCs w:val="28"/>
                <w:lang w:val="en-US"/>
              </w:rPr>
              <w:t xml:space="preserve">Capital gains tax — strengthening certain integrity provisions in the scrip for scrip </w:t>
            </w:r>
            <w:proofErr w:type="gramStart"/>
            <w:r w:rsidRPr="00A154B0">
              <w:rPr>
                <w:rFonts w:ascii="Arial" w:hAnsi="Arial" w:cs="Times"/>
                <w:b/>
                <w:bCs/>
                <w:color w:val="333333"/>
                <w:szCs w:val="28"/>
                <w:lang w:val="en-US"/>
              </w:rPr>
              <w:t>roll-over</w:t>
            </w:r>
            <w:proofErr w:type="gramEnd"/>
            <w:r w:rsidRPr="00A154B0">
              <w:rPr>
                <w:rFonts w:ascii="Arial" w:hAnsi="Arial" w:cs="Times"/>
                <w:b/>
                <w:bCs/>
                <w:color w:val="333333"/>
                <w:szCs w:val="28"/>
                <w:lang w:val="en-US"/>
              </w:rPr>
              <w:t>.</w:t>
            </w:r>
            <w:r w:rsidRPr="00A154B0">
              <w:rPr>
                <w:rFonts w:ascii="Arial" w:hAnsi="Arial" w:cs="Times"/>
                <w:color w:val="333333"/>
                <w:szCs w:val="28"/>
                <w:lang w:val="en-US"/>
              </w:rPr>
              <w:t xml:space="preserve"> Tightens the law to make it harder for companies and trusts to avoid capital gains tax when they sell subsidiary companies other than as part of a genuine merger or restructure of a business.</w:t>
            </w:r>
          </w:p>
        </w:tc>
        <w:tc>
          <w:tcPr>
            <w:tcW w:w="2835" w:type="dxa"/>
            <w:tcMar>
              <w:top w:w="140" w:type="nil"/>
              <w:left w:w="100" w:type="nil"/>
              <w:bottom w:w="100" w:type="nil"/>
              <w:right w:w="140" w:type="nil"/>
            </w:tcMar>
          </w:tcPr>
          <w:p w:rsidR="00A8526A" w:rsidRPr="00A154B0" w:rsidRDefault="00A8526A" w:rsidP="00A8526A">
            <w:pPr>
              <w:widowControl w:val="0"/>
              <w:autoSpaceDE w:val="0"/>
              <w:autoSpaceDN w:val="0"/>
              <w:adjustRightInd w:val="0"/>
              <w:spacing w:after="0" w:line="320" w:lineRule="atLeast"/>
              <w:rPr>
                <w:rFonts w:ascii="Arial" w:hAnsi="Arial" w:cs="Times"/>
                <w:color w:val="333333"/>
                <w:szCs w:val="28"/>
                <w:lang w:val="en-US"/>
              </w:rPr>
            </w:pPr>
          </w:p>
        </w:tc>
        <w:tc>
          <w:tcPr>
            <w:tcW w:w="2268" w:type="dxa"/>
            <w:tcMar>
              <w:top w:w="140" w:type="nil"/>
              <w:left w:w="100" w:type="nil"/>
              <w:bottom w:w="100" w:type="nil"/>
              <w:right w:w="140" w:type="nil"/>
            </w:tcMar>
          </w:tcPr>
          <w:p w:rsidR="00A8526A" w:rsidRPr="00A154B0" w:rsidRDefault="00A8526A" w:rsidP="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color w:val="333333"/>
                <w:szCs w:val="28"/>
                <w:lang w:val="en-US"/>
              </w:rPr>
              <w:t>8-May-12</w:t>
            </w:r>
          </w:p>
        </w:tc>
      </w:tr>
      <w:tr w:rsidR="00A8526A" w:rsidRPr="00A154B0">
        <w:tc>
          <w:tcPr>
            <w:tcW w:w="959" w:type="dxa"/>
            <w:tcMar>
              <w:top w:w="140" w:type="nil"/>
              <w:left w:w="100" w:type="nil"/>
              <w:bottom w:w="100" w:type="nil"/>
              <w:right w:w="140" w:type="nil"/>
            </w:tcMar>
          </w:tcPr>
          <w:p w:rsidR="00A8526A" w:rsidRPr="00A154B0" w:rsidRDefault="002D4FD0" w:rsidP="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color w:val="333333"/>
                <w:szCs w:val="28"/>
                <w:lang w:val="en-US"/>
              </w:rPr>
              <w:t>20</w:t>
            </w:r>
          </w:p>
        </w:tc>
        <w:tc>
          <w:tcPr>
            <w:tcW w:w="7654" w:type="dxa"/>
            <w:tcMar>
              <w:top w:w="140" w:type="nil"/>
              <w:left w:w="100" w:type="nil"/>
              <w:bottom w:w="100" w:type="nil"/>
              <w:right w:w="140" w:type="nil"/>
            </w:tcMar>
          </w:tcPr>
          <w:p w:rsidR="00A8526A" w:rsidRPr="00A154B0" w:rsidRDefault="00A8526A" w:rsidP="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b/>
                <w:bCs/>
                <w:color w:val="333333"/>
                <w:szCs w:val="28"/>
                <w:lang w:val="en-US"/>
              </w:rPr>
              <w:t>Taxation of financial arrangements — amendments to tax hedging rules.</w:t>
            </w:r>
            <w:hyperlink r:id="rId5" w:anchor="_ftn1" w:history="1">
              <w:r w:rsidRPr="00A154B0">
                <w:rPr>
                  <w:rFonts w:ascii="Arial" w:hAnsi="Arial" w:cs="Times"/>
                  <w:b/>
                  <w:bCs/>
                  <w:color w:val="588BC6"/>
                  <w:szCs w:val="20"/>
                  <w:lang w:val="en-US"/>
                </w:rPr>
                <w:t>1</w:t>
              </w:r>
            </w:hyperlink>
            <w:r w:rsidRPr="00A154B0">
              <w:rPr>
                <w:rFonts w:ascii="Arial" w:hAnsi="Arial" w:cs="Times"/>
                <w:color w:val="333333"/>
                <w:szCs w:val="28"/>
                <w:lang w:val="en-US"/>
              </w:rPr>
              <w:t xml:space="preserve"> Makes minor technical amendments to the taxation of financial arrangements tax hedging rules to provide further clarity.</w:t>
            </w:r>
          </w:p>
        </w:tc>
        <w:tc>
          <w:tcPr>
            <w:tcW w:w="2835" w:type="dxa"/>
            <w:tcMar>
              <w:top w:w="140" w:type="nil"/>
              <w:left w:w="100" w:type="nil"/>
              <w:bottom w:w="100" w:type="nil"/>
              <w:right w:w="140" w:type="nil"/>
            </w:tcMar>
          </w:tcPr>
          <w:p w:rsidR="00A8526A" w:rsidRPr="00A154B0" w:rsidRDefault="00A8526A" w:rsidP="00A8526A">
            <w:pPr>
              <w:widowControl w:val="0"/>
              <w:autoSpaceDE w:val="0"/>
              <w:autoSpaceDN w:val="0"/>
              <w:adjustRightInd w:val="0"/>
              <w:spacing w:after="0" w:line="320" w:lineRule="atLeast"/>
              <w:rPr>
                <w:rFonts w:ascii="Arial" w:hAnsi="Arial" w:cs="Times"/>
                <w:color w:val="333333"/>
                <w:szCs w:val="28"/>
                <w:lang w:val="en-US"/>
              </w:rPr>
            </w:pPr>
          </w:p>
        </w:tc>
        <w:tc>
          <w:tcPr>
            <w:tcW w:w="2268" w:type="dxa"/>
            <w:tcMar>
              <w:top w:w="140" w:type="nil"/>
              <w:left w:w="100" w:type="nil"/>
              <w:bottom w:w="100" w:type="nil"/>
              <w:right w:w="140" w:type="nil"/>
            </w:tcMar>
          </w:tcPr>
          <w:p w:rsidR="00A8526A" w:rsidRPr="00A154B0" w:rsidRDefault="00A8526A" w:rsidP="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color w:val="333333"/>
                <w:szCs w:val="28"/>
                <w:lang w:val="en-US"/>
              </w:rPr>
              <w:t>1-Jul-09</w:t>
            </w:r>
          </w:p>
        </w:tc>
      </w:tr>
      <w:tr w:rsidR="00A8526A" w:rsidRPr="00A154B0">
        <w:tc>
          <w:tcPr>
            <w:tcW w:w="959" w:type="dxa"/>
            <w:tcMar>
              <w:top w:w="140" w:type="nil"/>
              <w:left w:w="100" w:type="nil"/>
              <w:bottom w:w="100" w:type="nil"/>
              <w:right w:w="140" w:type="nil"/>
            </w:tcMar>
          </w:tcPr>
          <w:p w:rsidR="00A8526A" w:rsidRPr="00A154B0" w:rsidRDefault="002D4FD0" w:rsidP="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color w:val="333333"/>
                <w:szCs w:val="28"/>
                <w:lang w:val="en-US"/>
              </w:rPr>
              <w:t>21</w:t>
            </w:r>
          </w:p>
        </w:tc>
        <w:tc>
          <w:tcPr>
            <w:tcW w:w="7654" w:type="dxa"/>
            <w:tcMar>
              <w:top w:w="140" w:type="nil"/>
              <w:left w:w="100" w:type="nil"/>
              <w:bottom w:w="100" w:type="nil"/>
              <w:right w:w="140" w:type="nil"/>
            </w:tcMar>
          </w:tcPr>
          <w:p w:rsidR="00A8526A" w:rsidRPr="00A154B0" w:rsidRDefault="00A8526A" w:rsidP="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b/>
                <w:bCs/>
                <w:color w:val="333333"/>
                <w:szCs w:val="28"/>
                <w:lang w:val="en-US"/>
              </w:rPr>
              <w:t>Philanthropy — reforming the 'in Australia' requirements that apply to tax exempt entities.</w:t>
            </w:r>
            <w:r w:rsidRPr="00A154B0">
              <w:rPr>
                <w:rFonts w:ascii="Arial" w:hAnsi="Arial" w:cs="Times"/>
                <w:color w:val="333333"/>
                <w:szCs w:val="28"/>
                <w:lang w:val="en-US"/>
              </w:rPr>
              <w:t xml:space="preserve"> Re</w:t>
            </w:r>
            <w:r w:rsidRPr="00A154B0">
              <w:rPr>
                <w:rFonts w:ascii="Arial" w:hAnsi="Monaco" w:cs="Monaco"/>
                <w:color w:val="333333"/>
                <w:szCs w:val="28"/>
                <w:lang w:val="en-US"/>
              </w:rPr>
              <w:t>‑</w:t>
            </w:r>
            <w:r w:rsidRPr="00A154B0">
              <w:rPr>
                <w:rFonts w:ascii="Arial" w:hAnsi="Arial" w:cs="Times"/>
                <w:color w:val="333333"/>
                <w:szCs w:val="28"/>
                <w:lang w:val="en-US"/>
              </w:rPr>
              <w:t>states and clarifies the 'in Australia' special conditions for income tax exempt entities and deductible gift recipients to ensure that the relevant entities operate principally in Australia.</w:t>
            </w:r>
          </w:p>
        </w:tc>
        <w:tc>
          <w:tcPr>
            <w:tcW w:w="2835" w:type="dxa"/>
            <w:tcMar>
              <w:top w:w="140" w:type="nil"/>
              <w:left w:w="100" w:type="nil"/>
              <w:bottom w:w="100" w:type="nil"/>
              <w:right w:w="140" w:type="nil"/>
            </w:tcMar>
          </w:tcPr>
          <w:p w:rsidR="00A8526A" w:rsidRPr="00A154B0" w:rsidRDefault="002D4FD0" w:rsidP="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color w:val="333333"/>
                <w:szCs w:val="28"/>
                <w:lang w:val="en-US"/>
              </w:rPr>
              <w:t xml:space="preserve">Tax and </w:t>
            </w:r>
            <w:proofErr w:type="gramStart"/>
            <w:r w:rsidRPr="00A154B0">
              <w:rPr>
                <w:rFonts w:ascii="Arial" w:hAnsi="Arial" w:cs="Times"/>
                <w:color w:val="333333"/>
                <w:szCs w:val="28"/>
                <w:lang w:val="en-US"/>
              </w:rPr>
              <w:t>Superannuation  Laws</w:t>
            </w:r>
            <w:proofErr w:type="gramEnd"/>
            <w:r w:rsidRPr="00A154B0">
              <w:rPr>
                <w:rFonts w:ascii="Arial" w:hAnsi="Arial" w:cs="Times"/>
                <w:color w:val="333333"/>
                <w:szCs w:val="28"/>
                <w:lang w:val="en-US"/>
              </w:rPr>
              <w:t xml:space="preserve"> Amendment (2014 Measures No 2) Bill 2014</w:t>
            </w:r>
          </w:p>
        </w:tc>
        <w:tc>
          <w:tcPr>
            <w:tcW w:w="2268" w:type="dxa"/>
            <w:tcMar>
              <w:top w:w="140" w:type="nil"/>
              <w:left w:w="100" w:type="nil"/>
              <w:bottom w:w="100" w:type="nil"/>
              <w:right w:w="140" w:type="nil"/>
            </w:tcMar>
          </w:tcPr>
          <w:p w:rsidR="00A8526A" w:rsidRPr="00A154B0" w:rsidRDefault="00A8526A" w:rsidP="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color w:val="333333"/>
                <w:szCs w:val="28"/>
                <w:lang w:val="en-US"/>
              </w:rPr>
              <w:t>Royal Assent</w:t>
            </w:r>
          </w:p>
        </w:tc>
      </w:tr>
      <w:tr w:rsidR="00A8526A" w:rsidRPr="00A154B0">
        <w:tc>
          <w:tcPr>
            <w:tcW w:w="959" w:type="dxa"/>
            <w:tcMar>
              <w:top w:w="140" w:type="nil"/>
              <w:left w:w="100" w:type="nil"/>
              <w:bottom w:w="100" w:type="nil"/>
              <w:right w:w="140" w:type="nil"/>
            </w:tcMar>
          </w:tcPr>
          <w:p w:rsidR="00A8526A" w:rsidRPr="00A154B0" w:rsidRDefault="002D4FD0" w:rsidP="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color w:val="333333"/>
                <w:szCs w:val="28"/>
                <w:lang w:val="en-US"/>
              </w:rPr>
              <w:t>22</w:t>
            </w:r>
          </w:p>
        </w:tc>
        <w:tc>
          <w:tcPr>
            <w:tcW w:w="7654" w:type="dxa"/>
            <w:tcMar>
              <w:top w:w="140" w:type="nil"/>
              <w:left w:w="100" w:type="nil"/>
              <w:bottom w:w="100" w:type="nil"/>
              <w:right w:w="140" w:type="nil"/>
            </w:tcMar>
          </w:tcPr>
          <w:p w:rsidR="00A8526A" w:rsidRPr="00A154B0" w:rsidRDefault="00A8526A" w:rsidP="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b/>
                <w:bCs/>
                <w:color w:val="333333"/>
                <w:szCs w:val="28"/>
                <w:lang w:val="en-US"/>
              </w:rPr>
              <w:t>Capital gains tax — look-through treatment for earn out arrangements.</w:t>
            </w:r>
            <w:r w:rsidRPr="00A154B0">
              <w:rPr>
                <w:rFonts w:ascii="Arial" w:hAnsi="Arial" w:cs="Times"/>
                <w:color w:val="333333"/>
                <w:szCs w:val="28"/>
                <w:lang w:val="en-US"/>
              </w:rPr>
              <w:t xml:space="preserve"> Treats earn out payments as part of the value of the business asset for CGT purposes.</w:t>
            </w:r>
          </w:p>
        </w:tc>
        <w:tc>
          <w:tcPr>
            <w:tcW w:w="2835" w:type="dxa"/>
            <w:tcMar>
              <w:top w:w="140" w:type="nil"/>
              <w:left w:w="100" w:type="nil"/>
              <w:bottom w:w="100" w:type="nil"/>
              <w:right w:w="140" w:type="nil"/>
            </w:tcMar>
          </w:tcPr>
          <w:p w:rsidR="00A8526A" w:rsidRPr="00A154B0" w:rsidRDefault="00A8526A" w:rsidP="00A8526A">
            <w:pPr>
              <w:widowControl w:val="0"/>
              <w:autoSpaceDE w:val="0"/>
              <w:autoSpaceDN w:val="0"/>
              <w:adjustRightInd w:val="0"/>
              <w:spacing w:after="0" w:line="320" w:lineRule="atLeast"/>
              <w:rPr>
                <w:rFonts w:ascii="Arial" w:hAnsi="Arial" w:cs="Times"/>
                <w:color w:val="333333"/>
                <w:szCs w:val="28"/>
                <w:lang w:val="en-US"/>
              </w:rPr>
            </w:pPr>
          </w:p>
        </w:tc>
        <w:tc>
          <w:tcPr>
            <w:tcW w:w="2268" w:type="dxa"/>
            <w:tcMar>
              <w:top w:w="140" w:type="nil"/>
              <w:left w:w="100" w:type="nil"/>
              <w:bottom w:w="100" w:type="nil"/>
              <w:right w:w="140" w:type="nil"/>
            </w:tcMar>
          </w:tcPr>
          <w:p w:rsidR="00A8526A" w:rsidRPr="00A154B0" w:rsidRDefault="00A8526A" w:rsidP="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color w:val="333333"/>
                <w:szCs w:val="28"/>
                <w:lang w:val="en-US"/>
              </w:rPr>
              <w:t>Royal Assent</w:t>
            </w:r>
          </w:p>
        </w:tc>
      </w:tr>
      <w:tr w:rsidR="00A8526A" w:rsidRPr="00A154B0">
        <w:tc>
          <w:tcPr>
            <w:tcW w:w="959" w:type="dxa"/>
            <w:vMerge w:val="restart"/>
            <w:tcMar>
              <w:top w:w="140" w:type="nil"/>
              <w:left w:w="100" w:type="nil"/>
              <w:bottom w:w="100" w:type="nil"/>
              <w:right w:w="140" w:type="nil"/>
            </w:tcMar>
          </w:tcPr>
          <w:p w:rsidR="00A8526A" w:rsidRPr="00A154B0" w:rsidRDefault="002D4FD0" w:rsidP="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color w:val="333333"/>
                <w:szCs w:val="28"/>
                <w:lang w:val="en-US"/>
              </w:rPr>
              <w:t>23</w:t>
            </w:r>
          </w:p>
        </w:tc>
        <w:tc>
          <w:tcPr>
            <w:tcW w:w="7654" w:type="dxa"/>
            <w:tcMar>
              <w:top w:w="140" w:type="nil"/>
              <w:left w:w="100" w:type="nil"/>
              <w:bottom w:w="100" w:type="nil"/>
              <w:right w:w="140" w:type="nil"/>
            </w:tcMar>
          </w:tcPr>
          <w:p w:rsidR="00A8526A" w:rsidRPr="00A154B0" w:rsidRDefault="00A8526A" w:rsidP="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b/>
                <w:bCs/>
                <w:color w:val="333333"/>
                <w:szCs w:val="28"/>
                <w:lang w:val="en-US"/>
              </w:rPr>
              <w:t>(a) Income tax treatment of instalment warrants</w:t>
            </w:r>
          </w:p>
        </w:tc>
        <w:tc>
          <w:tcPr>
            <w:tcW w:w="2835" w:type="dxa"/>
            <w:tcMar>
              <w:top w:w="140" w:type="nil"/>
              <w:left w:w="100" w:type="nil"/>
              <w:bottom w:w="100" w:type="nil"/>
              <w:right w:w="140" w:type="nil"/>
            </w:tcMar>
          </w:tcPr>
          <w:p w:rsidR="00A8526A" w:rsidRPr="00A154B0" w:rsidRDefault="00A8526A" w:rsidP="00A8526A">
            <w:pPr>
              <w:widowControl w:val="0"/>
              <w:autoSpaceDE w:val="0"/>
              <w:autoSpaceDN w:val="0"/>
              <w:adjustRightInd w:val="0"/>
              <w:spacing w:after="0" w:line="320" w:lineRule="atLeast"/>
              <w:rPr>
                <w:rFonts w:ascii="Arial" w:hAnsi="Arial" w:cs="Times"/>
                <w:color w:val="333333"/>
                <w:szCs w:val="28"/>
                <w:lang w:val="en-US"/>
              </w:rPr>
            </w:pPr>
          </w:p>
        </w:tc>
        <w:tc>
          <w:tcPr>
            <w:tcW w:w="2268" w:type="dxa"/>
            <w:vMerge w:val="restart"/>
            <w:tcMar>
              <w:top w:w="140" w:type="nil"/>
              <w:left w:w="100" w:type="nil"/>
              <w:bottom w:w="100" w:type="nil"/>
              <w:right w:w="140" w:type="nil"/>
            </w:tcMar>
          </w:tcPr>
          <w:p w:rsidR="00A8526A" w:rsidRPr="00A154B0" w:rsidRDefault="00A8526A" w:rsidP="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color w:val="333333"/>
                <w:szCs w:val="28"/>
                <w:lang w:val="en-US"/>
              </w:rPr>
              <w:t>1-Jul-07</w:t>
            </w:r>
          </w:p>
        </w:tc>
      </w:tr>
      <w:tr w:rsidR="00A8526A" w:rsidRPr="00A154B0">
        <w:tc>
          <w:tcPr>
            <w:tcW w:w="959" w:type="dxa"/>
            <w:vMerge/>
            <w:tcMar>
              <w:top w:w="140" w:type="nil"/>
              <w:left w:w="100" w:type="nil"/>
              <w:bottom w:w="100" w:type="nil"/>
              <w:right w:w="140" w:type="nil"/>
            </w:tcMar>
          </w:tcPr>
          <w:p w:rsidR="00A8526A" w:rsidRPr="00A154B0" w:rsidRDefault="00A8526A" w:rsidP="00A8526A">
            <w:pPr>
              <w:widowControl w:val="0"/>
              <w:autoSpaceDE w:val="0"/>
              <w:autoSpaceDN w:val="0"/>
              <w:adjustRightInd w:val="0"/>
              <w:spacing w:after="0"/>
              <w:rPr>
                <w:rFonts w:ascii="Arial" w:hAnsi="Arial" w:cs="Times"/>
                <w:color w:val="333333"/>
                <w:szCs w:val="28"/>
                <w:lang w:val="en-US"/>
              </w:rPr>
            </w:pPr>
          </w:p>
        </w:tc>
        <w:tc>
          <w:tcPr>
            <w:tcW w:w="7654" w:type="dxa"/>
            <w:tcMar>
              <w:top w:w="140" w:type="nil"/>
              <w:left w:w="100" w:type="nil"/>
              <w:bottom w:w="100" w:type="nil"/>
              <w:right w:w="140" w:type="nil"/>
            </w:tcMar>
          </w:tcPr>
          <w:p w:rsidR="00A8526A" w:rsidRPr="00A154B0" w:rsidRDefault="00A8526A" w:rsidP="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b/>
                <w:bCs/>
                <w:color w:val="333333"/>
                <w:szCs w:val="28"/>
                <w:lang w:val="en-US"/>
              </w:rPr>
              <w:t>(b) Look-through treatment of instalment warrants and similar arrangements.</w:t>
            </w:r>
            <w:r w:rsidRPr="00A154B0">
              <w:rPr>
                <w:rFonts w:ascii="Arial" w:hAnsi="Arial" w:cs="Times"/>
                <w:color w:val="333333"/>
                <w:szCs w:val="28"/>
                <w:lang w:val="en-US"/>
              </w:rPr>
              <w:t xml:space="preserve"> Treats an investor in an instalment warrant as the owner of the underlying asset for tax purposes.</w:t>
            </w:r>
          </w:p>
        </w:tc>
        <w:tc>
          <w:tcPr>
            <w:tcW w:w="2835" w:type="dxa"/>
            <w:tcMar>
              <w:top w:w="140" w:type="nil"/>
              <w:left w:w="100" w:type="nil"/>
              <w:bottom w:w="100" w:type="nil"/>
              <w:right w:w="140" w:type="nil"/>
            </w:tcMar>
          </w:tcPr>
          <w:p w:rsidR="00A8526A" w:rsidRPr="00A154B0" w:rsidRDefault="00A8526A" w:rsidP="00A8526A">
            <w:pPr>
              <w:widowControl w:val="0"/>
              <w:autoSpaceDE w:val="0"/>
              <w:autoSpaceDN w:val="0"/>
              <w:adjustRightInd w:val="0"/>
              <w:spacing w:after="0" w:line="320" w:lineRule="atLeast"/>
              <w:rPr>
                <w:rFonts w:ascii="Arial" w:hAnsi="Arial" w:cs="Times"/>
                <w:color w:val="333333"/>
                <w:szCs w:val="28"/>
                <w:lang w:val="en-US"/>
              </w:rPr>
            </w:pPr>
          </w:p>
        </w:tc>
        <w:tc>
          <w:tcPr>
            <w:tcW w:w="2268" w:type="dxa"/>
            <w:vMerge/>
            <w:tcMar>
              <w:top w:w="140" w:type="nil"/>
              <w:left w:w="100" w:type="nil"/>
              <w:bottom w:w="100" w:type="nil"/>
              <w:right w:w="140" w:type="nil"/>
            </w:tcMar>
          </w:tcPr>
          <w:p w:rsidR="00A8526A" w:rsidRPr="00A154B0" w:rsidRDefault="00A8526A" w:rsidP="00A8526A">
            <w:pPr>
              <w:widowControl w:val="0"/>
              <w:autoSpaceDE w:val="0"/>
              <w:autoSpaceDN w:val="0"/>
              <w:adjustRightInd w:val="0"/>
              <w:spacing w:after="0"/>
              <w:rPr>
                <w:rFonts w:ascii="Arial" w:hAnsi="Arial" w:cs="Times"/>
                <w:color w:val="333333"/>
                <w:szCs w:val="28"/>
                <w:lang w:val="en-US"/>
              </w:rPr>
            </w:pPr>
          </w:p>
        </w:tc>
      </w:tr>
      <w:tr w:rsidR="00A8526A" w:rsidRPr="00A154B0">
        <w:tc>
          <w:tcPr>
            <w:tcW w:w="959" w:type="dxa"/>
            <w:tcMar>
              <w:top w:w="140" w:type="nil"/>
              <w:left w:w="100" w:type="nil"/>
              <w:bottom w:w="100" w:type="nil"/>
              <w:right w:w="140" w:type="nil"/>
            </w:tcMar>
          </w:tcPr>
          <w:p w:rsidR="00A8526A" w:rsidRPr="00A154B0" w:rsidRDefault="002D4FD0" w:rsidP="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color w:val="333333"/>
                <w:szCs w:val="28"/>
                <w:lang w:val="en-US"/>
              </w:rPr>
              <w:t>24</w:t>
            </w:r>
          </w:p>
        </w:tc>
        <w:tc>
          <w:tcPr>
            <w:tcW w:w="7654" w:type="dxa"/>
            <w:tcMar>
              <w:top w:w="140" w:type="nil"/>
              <w:left w:w="100" w:type="nil"/>
              <w:bottom w:w="100" w:type="nil"/>
              <w:right w:w="140" w:type="nil"/>
            </w:tcMar>
          </w:tcPr>
          <w:p w:rsidR="00A8526A" w:rsidRPr="00A154B0" w:rsidRDefault="00A8526A" w:rsidP="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b/>
                <w:bCs/>
                <w:color w:val="333333"/>
                <w:szCs w:val="28"/>
                <w:lang w:val="en-US"/>
              </w:rPr>
              <w:t>GST — Cross border transactions — 'connected with Australia' rules.</w:t>
            </w:r>
            <w:r w:rsidRPr="00A154B0">
              <w:rPr>
                <w:rFonts w:ascii="Arial" w:hAnsi="Arial" w:cs="Times"/>
                <w:color w:val="333333"/>
                <w:szCs w:val="28"/>
                <w:lang w:val="en-US"/>
              </w:rPr>
              <w:t xml:space="preserve"> Reduces the number of non</w:t>
            </w:r>
            <w:r w:rsidRPr="00A154B0">
              <w:rPr>
                <w:rFonts w:ascii="Arial" w:hAnsi="Monaco" w:cs="Monaco"/>
                <w:color w:val="333333"/>
                <w:szCs w:val="28"/>
                <w:lang w:val="en-US"/>
              </w:rPr>
              <w:t>‑</w:t>
            </w:r>
            <w:r w:rsidRPr="00A154B0">
              <w:rPr>
                <w:rFonts w:ascii="Arial" w:hAnsi="Arial" w:cs="Times"/>
                <w:color w:val="333333"/>
                <w:szCs w:val="28"/>
                <w:lang w:val="en-US"/>
              </w:rPr>
              <w:t>residents who are unnecessarily drawn into Australia's GST system, improving competiveness of Australian suppliers.</w:t>
            </w:r>
          </w:p>
        </w:tc>
        <w:tc>
          <w:tcPr>
            <w:tcW w:w="2835" w:type="dxa"/>
            <w:tcMar>
              <w:top w:w="140" w:type="nil"/>
              <w:left w:w="100" w:type="nil"/>
              <w:bottom w:w="100" w:type="nil"/>
              <w:right w:w="140" w:type="nil"/>
            </w:tcMar>
          </w:tcPr>
          <w:p w:rsidR="00A8526A" w:rsidRPr="00A154B0" w:rsidRDefault="00A8526A" w:rsidP="00A8526A">
            <w:pPr>
              <w:widowControl w:val="0"/>
              <w:autoSpaceDE w:val="0"/>
              <w:autoSpaceDN w:val="0"/>
              <w:adjustRightInd w:val="0"/>
              <w:spacing w:after="0" w:line="320" w:lineRule="atLeast"/>
              <w:rPr>
                <w:rFonts w:ascii="Arial" w:hAnsi="Arial" w:cs="Times"/>
                <w:color w:val="333333"/>
                <w:szCs w:val="28"/>
                <w:lang w:val="en-US"/>
              </w:rPr>
            </w:pPr>
          </w:p>
        </w:tc>
        <w:tc>
          <w:tcPr>
            <w:tcW w:w="2268" w:type="dxa"/>
            <w:tcMar>
              <w:top w:w="140" w:type="nil"/>
              <w:left w:w="100" w:type="nil"/>
              <w:bottom w:w="100" w:type="nil"/>
              <w:right w:w="140" w:type="nil"/>
            </w:tcMar>
          </w:tcPr>
          <w:p w:rsidR="00A8526A" w:rsidRPr="00A154B0" w:rsidRDefault="00A8526A" w:rsidP="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color w:val="333333"/>
                <w:szCs w:val="28"/>
                <w:lang w:val="en-US"/>
              </w:rPr>
              <w:t>Royal Assent</w:t>
            </w:r>
          </w:p>
        </w:tc>
      </w:tr>
      <w:tr w:rsidR="00A8526A" w:rsidRPr="00A154B0">
        <w:tc>
          <w:tcPr>
            <w:tcW w:w="959" w:type="dxa"/>
            <w:tcMar>
              <w:top w:w="140" w:type="nil"/>
              <w:left w:w="100" w:type="nil"/>
              <w:bottom w:w="100" w:type="nil"/>
              <w:right w:w="140" w:type="nil"/>
            </w:tcMar>
          </w:tcPr>
          <w:p w:rsidR="00A8526A" w:rsidRPr="00A154B0" w:rsidRDefault="002D4FD0" w:rsidP="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color w:val="333333"/>
                <w:szCs w:val="28"/>
                <w:lang w:val="en-US"/>
              </w:rPr>
              <w:t>25</w:t>
            </w:r>
          </w:p>
        </w:tc>
        <w:tc>
          <w:tcPr>
            <w:tcW w:w="7654" w:type="dxa"/>
            <w:tcMar>
              <w:top w:w="140" w:type="nil"/>
              <w:left w:w="100" w:type="nil"/>
              <w:bottom w:w="100" w:type="nil"/>
              <w:right w:w="140" w:type="nil"/>
            </w:tcMar>
          </w:tcPr>
          <w:p w:rsidR="00A8526A" w:rsidRPr="00A154B0" w:rsidRDefault="00A8526A" w:rsidP="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b/>
                <w:bCs/>
                <w:color w:val="333333"/>
                <w:szCs w:val="28"/>
                <w:lang w:val="en-US"/>
              </w:rPr>
              <w:t xml:space="preserve">GST — Government response to Board of Taxation report: GST administration </w:t>
            </w:r>
            <w:r w:rsidR="006C0900" w:rsidRPr="00A154B0">
              <w:rPr>
                <w:rFonts w:ascii="Arial" w:hAnsi="Arial" w:cs="Times"/>
                <w:b/>
                <w:bCs/>
                <w:color w:val="333333"/>
                <w:szCs w:val="28"/>
                <w:lang w:val="en-US"/>
              </w:rPr>
              <w:t>— reverse</w:t>
            </w:r>
            <w:r w:rsidRPr="00A154B0">
              <w:rPr>
                <w:rFonts w:ascii="Arial" w:hAnsi="Arial" w:cs="Times"/>
                <w:b/>
                <w:bCs/>
                <w:color w:val="333333"/>
                <w:szCs w:val="28"/>
                <w:lang w:val="en-US"/>
              </w:rPr>
              <w:t xml:space="preserve"> charge for going concerns.</w:t>
            </w:r>
            <w:r w:rsidRPr="00A154B0">
              <w:rPr>
                <w:rFonts w:ascii="Arial" w:hAnsi="Arial" w:cs="Times"/>
                <w:color w:val="333333"/>
                <w:szCs w:val="28"/>
                <w:lang w:val="en-US"/>
              </w:rPr>
              <w:t xml:space="preserve"> Replaces the GST free concessions for the supply of going concerns and </w:t>
            </w:r>
            <w:proofErr w:type="gramStart"/>
            <w:r w:rsidRPr="00A154B0">
              <w:rPr>
                <w:rFonts w:ascii="Arial" w:hAnsi="Arial" w:cs="Times"/>
                <w:color w:val="333333"/>
                <w:szCs w:val="28"/>
                <w:lang w:val="en-US"/>
              </w:rPr>
              <w:t>farm land</w:t>
            </w:r>
            <w:proofErr w:type="gramEnd"/>
            <w:r w:rsidRPr="00A154B0">
              <w:rPr>
                <w:rFonts w:ascii="Arial" w:hAnsi="Arial" w:cs="Times"/>
                <w:color w:val="333333"/>
                <w:szCs w:val="28"/>
                <w:lang w:val="en-US"/>
              </w:rPr>
              <w:t xml:space="preserve"> supplied for farming with a reverse charge mechanism.</w:t>
            </w:r>
          </w:p>
        </w:tc>
        <w:tc>
          <w:tcPr>
            <w:tcW w:w="2835" w:type="dxa"/>
            <w:tcMar>
              <w:top w:w="140" w:type="nil"/>
              <w:left w:w="100" w:type="nil"/>
              <w:bottom w:w="100" w:type="nil"/>
              <w:right w:w="140" w:type="nil"/>
            </w:tcMar>
          </w:tcPr>
          <w:p w:rsidR="00A8526A" w:rsidRPr="00A154B0" w:rsidRDefault="00A8526A" w:rsidP="00A8526A">
            <w:pPr>
              <w:widowControl w:val="0"/>
              <w:autoSpaceDE w:val="0"/>
              <w:autoSpaceDN w:val="0"/>
              <w:adjustRightInd w:val="0"/>
              <w:spacing w:after="0" w:line="320" w:lineRule="atLeast"/>
              <w:rPr>
                <w:rFonts w:ascii="Arial" w:hAnsi="Arial" w:cs="Times"/>
                <w:color w:val="333333"/>
                <w:szCs w:val="28"/>
                <w:lang w:val="en-US"/>
              </w:rPr>
            </w:pPr>
          </w:p>
        </w:tc>
        <w:tc>
          <w:tcPr>
            <w:tcW w:w="2268" w:type="dxa"/>
            <w:tcMar>
              <w:top w:w="140" w:type="nil"/>
              <w:left w:w="100" w:type="nil"/>
              <w:bottom w:w="100" w:type="nil"/>
              <w:right w:w="140" w:type="nil"/>
            </w:tcMar>
          </w:tcPr>
          <w:p w:rsidR="00A8526A" w:rsidRPr="00A154B0" w:rsidRDefault="00A8526A" w:rsidP="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color w:val="333333"/>
                <w:szCs w:val="28"/>
                <w:lang w:val="en-US"/>
              </w:rPr>
              <w:t>Royal Assent</w:t>
            </w:r>
          </w:p>
        </w:tc>
      </w:tr>
      <w:tr w:rsidR="00A8526A" w:rsidRPr="00A154B0">
        <w:tc>
          <w:tcPr>
            <w:tcW w:w="959" w:type="dxa"/>
            <w:tcMar>
              <w:top w:w="140" w:type="nil"/>
              <w:left w:w="100" w:type="nil"/>
              <w:bottom w:w="100" w:type="nil"/>
              <w:right w:w="140" w:type="nil"/>
            </w:tcMar>
          </w:tcPr>
          <w:p w:rsidR="00A8526A" w:rsidRPr="00A154B0" w:rsidRDefault="002D4FD0" w:rsidP="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color w:val="333333"/>
                <w:szCs w:val="28"/>
                <w:lang w:val="en-US"/>
              </w:rPr>
              <w:t>26</w:t>
            </w:r>
          </w:p>
        </w:tc>
        <w:tc>
          <w:tcPr>
            <w:tcW w:w="7654" w:type="dxa"/>
            <w:tcMar>
              <w:top w:w="140" w:type="nil"/>
              <w:left w:w="100" w:type="nil"/>
              <w:bottom w:w="100" w:type="nil"/>
              <w:right w:w="140" w:type="nil"/>
            </w:tcMar>
          </w:tcPr>
          <w:p w:rsidR="00A8526A" w:rsidRPr="00A154B0" w:rsidRDefault="00A8526A" w:rsidP="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b/>
                <w:bCs/>
                <w:color w:val="333333"/>
                <w:szCs w:val="28"/>
                <w:lang w:val="en-US"/>
              </w:rPr>
              <w:t>Loss recoupment rules — multiple classes of shares.</w:t>
            </w:r>
            <w:r w:rsidRPr="00A154B0">
              <w:rPr>
                <w:rFonts w:ascii="Arial" w:hAnsi="Arial" w:cs="Times"/>
                <w:color w:val="333333"/>
                <w:szCs w:val="28"/>
                <w:lang w:val="en-US"/>
              </w:rPr>
              <w:t xml:space="preserve"> Improves the operation of the tax loss rules in a limited range of circumstances (i.e. where a company has non</w:t>
            </w:r>
            <w:r w:rsidRPr="00A154B0">
              <w:rPr>
                <w:rFonts w:ascii="Arial" w:hAnsi="Monaco" w:cs="Monaco"/>
                <w:color w:val="333333"/>
                <w:szCs w:val="28"/>
                <w:lang w:val="en-US"/>
              </w:rPr>
              <w:t>‑</w:t>
            </w:r>
            <w:r w:rsidRPr="00A154B0">
              <w:rPr>
                <w:rFonts w:ascii="Arial" w:hAnsi="Arial" w:cs="Times"/>
                <w:color w:val="333333"/>
                <w:szCs w:val="28"/>
                <w:lang w:val="en-US"/>
              </w:rPr>
              <w:t>standard classes of shares or when it joins a consolidated group).</w:t>
            </w:r>
          </w:p>
        </w:tc>
        <w:tc>
          <w:tcPr>
            <w:tcW w:w="2835" w:type="dxa"/>
            <w:tcMar>
              <w:top w:w="140" w:type="nil"/>
              <w:left w:w="100" w:type="nil"/>
              <w:bottom w:w="100" w:type="nil"/>
              <w:right w:w="140" w:type="nil"/>
            </w:tcMar>
          </w:tcPr>
          <w:p w:rsidR="00A8526A" w:rsidRPr="00A154B0" w:rsidRDefault="00A8526A" w:rsidP="00A8526A">
            <w:pPr>
              <w:widowControl w:val="0"/>
              <w:autoSpaceDE w:val="0"/>
              <w:autoSpaceDN w:val="0"/>
              <w:adjustRightInd w:val="0"/>
              <w:spacing w:after="0" w:line="320" w:lineRule="atLeast"/>
              <w:rPr>
                <w:rFonts w:ascii="Arial" w:hAnsi="Arial" w:cs="Times"/>
                <w:color w:val="333333"/>
                <w:szCs w:val="28"/>
                <w:lang w:val="en-US"/>
              </w:rPr>
            </w:pPr>
          </w:p>
        </w:tc>
        <w:tc>
          <w:tcPr>
            <w:tcW w:w="2268" w:type="dxa"/>
            <w:tcMar>
              <w:top w:w="140" w:type="nil"/>
              <w:left w:w="100" w:type="nil"/>
              <w:bottom w:w="100" w:type="nil"/>
              <w:right w:w="140" w:type="nil"/>
            </w:tcMar>
          </w:tcPr>
          <w:p w:rsidR="00A8526A" w:rsidRPr="00A154B0" w:rsidRDefault="00A8526A" w:rsidP="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color w:val="333333"/>
                <w:szCs w:val="28"/>
                <w:lang w:val="en-US"/>
              </w:rPr>
              <w:t>1-Jul-02</w:t>
            </w:r>
          </w:p>
        </w:tc>
      </w:tr>
      <w:tr w:rsidR="00A8526A" w:rsidRPr="00A154B0">
        <w:tc>
          <w:tcPr>
            <w:tcW w:w="959" w:type="dxa"/>
            <w:tcMar>
              <w:top w:w="140" w:type="nil"/>
              <w:left w:w="100" w:type="nil"/>
              <w:bottom w:w="100" w:type="nil"/>
              <w:right w:w="140" w:type="nil"/>
            </w:tcMar>
          </w:tcPr>
          <w:p w:rsidR="00A8526A" w:rsidRPr="00A154B0" w:rsidRDefault="002D4FD0" w:rsidP="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color w:val="333333"/>
                <w:szCs w:val="28"/>
                <w:lang w:val="en-US"/>
              </w:rPr>
              <w:t>27</w:t>
            </w:r>
          </w:p>
        </w:tc>
        <w:tc>
          <w:tcPr>
            <w:tcW w:w="7654" w:type="dxa"/>
            <w:tcMar>
              <w:top w:w="140" w:type="nil"/>
              <w:left w:w="100" w:type="nil"/>
              <w:bottom w:w="100" w:type="nil"/>
              <w:right w:w="140" w:type="nil"/>
            </w:tcMar>
          </w:tcPr>
          <w:p w:rsidR="00A8526A" w:rsidRPr="00A154B0" w:rsidRDefault="00A8526A" w:rsidP="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b/>
                <w:bCs/>
                <w:color w:val="333333"/>
                <w:szCs w:val="28"/>
                <w:lang w:val="en-US"/>
              </w:rPr>
              <w:t>Functional currency rules — extending the range of entities that can use a functional currency.</w:t>
            </w:r>
            <w:r w:rsidRPr="00A154B0">
              <w:rPr>
                <w:rFonts w:ascii="Arial" w:hAnsi="Arial" w:cs="Times"/>
                <w:color w:val="333333"/>
                <w:szCs w:val="28"/>
                <w:lang w:val="en-US"/>
              </w:rPr>
              <w:t xml:space="preserve"> Allows trusts and partnerships to use the functional currency rules when preparing their Australian income tax returns.</w:t>
            </w:r>
          </w:p>
        </w:tc>
        <w:tc>
          <w:tcPr>
            <w:tcW w:w="2835" w:type="dxa"/>
            <w:tcMar>
              <w:top w:w="140" w:type="nil"/>
              <w:left w:w="100" w:type="nil"/>
              <w:bottom w:w="100" w:type="nil"/>
              <w:right w:w="140" w:type="nil"/>
            </w:tcMar>
          </w:tcPr>
          <w:p w:rsidR="00A8526A" w:rsidRPr="00A154B0" w:rsidRDefault="00A8526A" w:rsidP="00A8526A">
            <w:pPr>
              <w:widowControl w:val="0"/>
              <w:autoSpaceDE w:val="0"/>
              <w:autoSpaceDN w:val="0"/>
              <w:adjustRightInd w:val="0"/>
              <w:spacing w:after="0" w:line="320" w:lineRule="atLeast"/>
              <w:rPr>
                <w:rFonts w:ascii="Arial" w:hAnsi="Arial" w:cs="Times"/>
                <w:color w:val="333333"/>
                <w:szCs w:val="28"/>
                <w:lang w:val="en-US"/>
              </w:rPr>
            </w:pPr>
          </w:p>
        </w:tc>
        <w:tc>
          <w:tcPr>
            <w:tcW w:w="2268" w:type="dxa"/>
            <w:tcMar>
              <w:top w:w="140" w:type="nil"/>
              <w:left w:w="100" w:type="nil"/>
              <w:bottom w:w="100" w:type="nil"/>
              <w:right w:w="140" w:type="nil"/>
            </w:tcMar>
          </w:tcPr>
          <w:p w:rsidR="00A8526A" w:rsidRPr="00A154B0" w:rsidRDefault="00A8526A" w:rsidP="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color w:val="333333"/>
                <w:szCs w:val="28"/>
                <w:lang w:val="en-US"/>
              </w:rPr>
              <w:t>Royal Assent</w:t>
            </w:r>
          </w:p>
        </w:tc>
      </w:tr>
      <w:tr w:rsidR="00A8526A" w:rsidRPr="00A154B0">
        <w:tc>
          <w:tcPr>
            <w:tcW w:w="959" w:type="dxa"/>
            <w:vMerge w:val="restart"/>
            <w:tcMar>
              <w:top w:w="140" w:type="nil"/>
              <w:left w:w="100" w:type="nil"/>
              <w:bottom w:w="100" w:type="nil"/>
              <w:right w:w="140" w:type="nil"/>
            </w:tcMar>
            <w:vAlign w:val="bottom"/>
          </w:tcPr>
          <w:p w:rsidR="00A8526A" w:rsidRPr="00A154B0" w:rsidRDefault="002D4FD0" w:rsidP="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color w:val="333333"/>
                <w:szCs w:val="28"/>
                <w:lang w:val="en-US"/>
              </w:rPr>
              <w:t>28</w:t>
            </w:r>
          </w:p>
        </w:tc>
        <w:tc>
          <w:tcPr>
            <w:tcW w:w="7654" w:type="dxa"/>
            <w:tcMar>
              <w:top w:w="140" w:type="nil"/>
              <w:left w:w="100" w:type="nil"/>
              <w:bottom w:w="100" w:type="nil"/>
              <w:right w:w="140" w:type="nil"/>
            </w:tcMar>
          </w:tcPr>
          <w:p w:rsidR="00A8526A" w:rsidRPr="00A154B0" w:rsidRDefault="00A8526A" w:rsidP="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b/>
                <w:bCs/>
                <w:color w:val="333333"/>
                <w:szCs w:val="28"/>
                <w:lang w:val="en-US"/>
              </w:rPr>
              <w:t>(a) Capital gains tax — minor amendments ensuring the proper functioning of the capital gains tax provisions — life insurance policies</w:t>
            </w:r>
          </w:p>
        </w:tc>
        <w:tc>
          <w:tcPr>
            <w:tcW w:w="2835" w:type="dxa"/>
            <w:tcMar>
              <w:top w:w="140" w:type="nil"/>
              <w:left w:w="100" w:type="nil"/>
              <w:bottom w:w="100" w:type="nil"/>
              <w:right w:w="140" w:type="nil"/>
            </w:tcMar>
          </w:tcPr>
          <w:p w:rsidR="00A8526A" w:rsidRPr="00A154B0" w:rsidRDefault="00A8526A" w:rsidP="00A8526A">
            <w:pPr>
              <w:widowControl w:val="0"/>
              <w:autoSpaceDE w:val="0"/>
              <w:autoSpaceDN w:val="0"/>
              <w:adjustRightInd w:val="0"/>
              <w:spacing w:after="0" w:line="320" w:lineRule="atLeast"/>
              <w:rPr>
                <w:rFonts w:ascii="Arial" w:hAnsi="Arial" w:cs="Times"/>
                <w:color w:val="333333"/>
                <w:szCs w:val="28"/>
                <w:lang w:val="en-US"/>
              </w:rPr>
            </w:pPr>
          </w:p>
        </w:tc>
        <w:tc>
          <w:tcPr>
            <w:tcW w:w="2268" w:type="dxa"/>
            <w:vMerge w:val="restart"/>
            <w:tcMar>
              <w:top w:w="140" w:type="nil"/>
              <w:left w:w="100" w:type="nil"/>
              <w:bottom w:w="100" w:type="nil"/>
              <w:right w:w="140" w:type="nil"/>
            </w:tcMar>
          </w:tcPr>
          <w:p w:rsidR="00A8526A" w:rsidRPr="00A154B0" w:rsidRDefault="00A8526A" w:rsidP="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color w:val="333333"/>
                <w:szCs w:val="28"/>
                <w:lang w:val="en-US"/>
              </w:rPr>
              <w:t>1-Jul-05</w:t>
            </w:r>
          </w:p>
        </w:tc>
      </w:tr>
      <w:tr w:rsidR="00A8526A" w:rsidRPr="00A154B0">
        <w:tc>
          <w:tcPr>
            <w:tcW w:w="959" w:type="dxa"/>
            <w:vMerge/>
            <w:tcMar>
              <w:top w:w="140" w:type="nil"/>
              <w:left w:w="100" w:type="nil"/>
              <w:bottom w:w="100" w:type="nil"/>
              <w:right w:w="140" w:type="nil"/>
            </w:tcMar>
            <w:vAlign w:val="bottom"/>
          </w:tcPr>
          <w:p w:rsidR="00A8526A" w:rsidRPr="00A154B0" w:rsidRDefault="00A8526A" w:rsidP="00A8526A">
            <w:pPr>
              <w:widowControl w:val="0"/>
              <w:autoSpaceDE w:val="0"/>
              <w:autoSpaceDN w:val="0"/>
              <w:adjustRightInd w:val="0"/>
              <w:spacing w:after="0"/>
              <w:rPr>
                <w:rFonts w:ascii="Arial" w:hAnsi="Arial" w:cs="Times"/>
                <w:color w:val="333333"/>
                <w:szCs w:val="28"/>
                <w:lang w:val="en-US"/>
              </w:rPr>
            </w:pPr>
          </w:p>
        </w:tc>
        <w:tc>
          <w:tcPr>
            <w:tcW w:w="7654" w:type="dxa"/>
            <w:tcMar>
              <w:top w:w="140" w:type="nil"/>
              <w:left w:w="100" w:type="nil"/>
              <w:bottom w:w="100" w:type="nil"/>
              <w:right w:w="140" w:type="nil"/>
            </w:tcMar>
          </w:tcPr>
          <w:p w:rsidR="00A8526A" w:rsidRPr="00A154B0" w:rsidRDefault="00A8526A" w:rsidP="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b/>
                <w:bCs/>
                <w:color w:val="333333"/>
                <w:szCs w:val="28"/>
                <w:lang w:val="en-US"/>
              </w:rPr>
              <w:t>(b) Capital gains tax — broadening the exemptions for certain compensation payments and insurance policies.</w:t>
            </w:r>
            <w:r w:rsidRPr="00A154B0">
              <w:rPr>
                <w:rFonts w:ascii="Arial" w:hAnsi="Arial" w:cs="Times"/>
                <w:color w:val="333333"/>
                <w:szCs w:val="28"/>
                <w:lang w:val="en-US"/>
              </w:rPr>
              <w:t xml:space="preserve"> Exempts from CGT certain compensation payments and life insurance policies received by super funds and trustees.</w:t>
            </w:r>
          </w:p>
        </w:tc>
        <w:tc>
          <w:tcPr>
            <w:tcW w:w="2835" w:type="dxa"/>
            <w:tcMar>
              <w:top w:w="140" w:type="nil"/>
              <w:left w:w="100" w:type="nil"/>
              <w:bottom w:w="100" w:type="nil"/>
              <w:right w:w="140" w:type="nil"/>
            </w:tcMar>
          </w:tcPr>
          <w:p w:rsidR="00A8526A" w:rsidRPr="00A154B0" w:rsidRDefault="00A8526A" w:rsidP="00A8526A">
            <w:pPr>
              <w:widowControl w:val="0"/>
              <w:autoSpaceDE w:val="0"/>
              <w:autoSpaceDN w:val="0"/>
              <w:adjustRightInd w:val="0"/>
              <w:spacing w:after="0" w:line="320" w:lineRule="atLeast"/>
              <w:rPr>
                <w:rFonts w:ascii="Arial" w:hAnsi="Arial" w:cs="Times"/>
                <w:color w:val="333333"/>
                <w:szCs w:val="28"/>
                <w:lang w:val="en-US"/>
              </w:rPr>
            </w:pPr>
          </w:p>
        </w:tc>
        <w:tc>
          <w:tcPr>
            <w:tcW w:w="2268" w:type="dxa"/>
            <w:vMerge/>
            <w:tcMar>
              <w:top w:w="140" w:type="nil"/>
              <w:left w:w="100" w:type="nil"/>
              <w:bottom w:w="100" w:type="nil"/>
              <w:right w:w="140" w:type="nil"/>
            </w:tcMar>
          </w:tcPr>
          <w:p w:rsidR="00A8526A" w:rsidRPr="00A154B0" w:rsidRDefault="00A8526A" w:rsidP="00A8526A">
            <w:pPr>
              <w:widowControl w:val="0"/>
              <w:autoSpaceDE w:val="0"/>
              <w:autoSpaceDN w:val="0"/>
              <w:adjustRightInd w:val="0"/>
              <w:spacing w:after="0"/>
              <w:rPr>
                <w:rFonts w:ascii="Arial" w:hAnsi="Arial" w:cs="Times"/>
                <w:color w:val="333333"/>
                <w:szCs w:val="28"/>
                <w:lang w:val="en-US"/>
              </w:rPr>
            </w:pPr>
          </w:p>
        </w:tc>
      </w:tr>
      <w:tr w:rsidR="00A8526A" w:rsidRPr="00A154B0">
        <w:tc>
          <w:tcPr>
            <w:tcW w:w="959" w:type="dxa"/>
            <w:vMerge w:val="restart"/>
            <w:tcMar>
              <w:top w:w="140" w:type="nil"/>
              <w:left w:w="100" w:type="nil"/>
              <w:bottom w:w="100" w:type="nil"/>
              <w:right w:w="140" w:type="nil"/>
            </w:tcMar>
            <w:vAlign w:val="bottom"/>
          </w:tcPr>
          <w:p w:rsidR="00A8526A" w:rsidRPr="00A154B0" w:rsidRDefault="002D4FD0" w:rsidP="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color w:val="333333"/>
                <w:szCs w:val="28"/>
                <w:lang w:val="en-US"/>
              </w:rPr>
              <w:t>29</w:t>
            </w:r>
          </w:p>
        </w:tc>
        <w:tc>
          <w:tcPr>
            <w:tcW w:w="7654" w:type="dxa"/>
            <w:tcMar>
              <w:top w:w="140" w:type="nil"/>
              <w:left w:w="100" w:type="nil"/>
              <w:bottom w:w="100" w:type="nil"/>
              <w:right w:w="140" w:type="nil"/>
            </w:tcMar>
          </w:tcPr>
          <w:p w:rsidR="00A8526A" w:rsidRPr="00A154B0" w:rsidRDefault="00A8526A" w:rsidP="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b/>
                <w:bCs/>
                <w:color w:val="333333"/>
                <w:szCs w:val="28"/>
                <w:lang w:val="en-US"/>
              </w:rPr>
              <w:t>(a) Capital gains tax — minor amendments ensuring the proper functioning of the capital gains tax provisions — restructure roll</w:t>
            </w:r>
            <w:r w:rsidRPr="00A154B0">
              <w:rPr>
                <w:rFonts w:ascii="Arial" w:hAnsi="Monaco" w:cs="Monaco"/>
                <w:b/>
                <w:bCs/>
                <w:color w:val="333333"/>
                <w:szCs w:val="28"/>
                <w:lang w:val="en-US"/>
              </w:rPr>
              <w:t>‑</w:t>
            </w:r>
            <w:r w:rsidRPr="00A154B0">
              <w:rPr>
                <w:rFonts w:ascii="Arial" w:hAnsi="Arial" w:cs="Times"/>
                <w:b/>
                <w:bCs/>
                <w:color w:val="333333"/>
                <w:szCs w:val="28"/>
                <w:lang w:val="en-US"/>
              </w:rPr>
              <w:t>overs</w:t>
            </w:r>
          </w:p>
        </w:tc>
        <w:tc>
          <w:tcPr>
            <w:tcW w:w="2835" w:type="dxa"/>
            <w:tcMar>
              <w:top w:w="140" w:type="nil"/>
              <w:left w:w="100" w:type="nil"/>
              <w:bottom w:w="100" w:type="nil"/>
              <w:right w:w="140" w:type="nil"/>
            </w:tcMar>
          </w:tcPr>
          <w:p w:rsidR="00A8526A" w:rsidRPr="00A154B0" w:rsidRDefault="00A8526A" w:rsidP="00A8526A">
            <w:pPr>
              <w:widowControl w:val="0"/>
              <w:autoSpaceDE w:val="0"/>
              <w:autoSpaceDN w:val="0"/>
              <w:adjustRightInd w:val="0"/>
              <w:spacing w:after="0" w:line="320" w:lineRule="atLeast"/>
              <w:rPr>
                <w:rFonts w:ascii="Arial" w:hAnsi="Arial" w:cs="Times"/>
                <w:color w:val="333333"/>
                <w:szCs w:val="28"/>
                <w:lang w:val="en-US"/>
              </w:rPr>
            </w:pPr>
          </w:p>
        </w:tc>
        <w:tc>
          <w:tcPr>
            <w:tcW w:w="2268" w:type="dxa"/>
            <w:tcMar>
              <w:top w:w="140" w:type="nil"/>
              <w:left w:w="100" w:type="nil"/>
              <w:bottom w:w="100" w:type="nil"/>
              <w:right w:w="140" w:type="nil"/>
            </w:tcMar>
          </w:tcPr>
          <w:p w:rsidR="00A8526A" w:rsidRPr="00A154B0" w:rsidRDefault="00A8526A" w:rsidP="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color w:val="333333"/>
                <w:szCs w:val="28"/>
                <w:lang w:val="en-US"/>
              </w:rPr>
              <w:t>(a) 10 May 2011 and 1 November 2008</w:t>
            </w:r>
          </w:p>
        </w:tc>
      </w:tr>
      <w:tr w:rsidR="00A8526A" w:rsidRPr="00A154B0">
        <w:tc>
          <w:tcPr>
            <w:tcW w:w="959" w:type="dxa"/>
            <w:vMerge/>
            <w:tcMar>
              <w:top w:w="140" w:type="nil"/>
              <w:left w:w="100" w:type="nil"/>
              <w:bottom w:w="100" w:type="nil"/>
              <w:right w:w="140" w:type="nil"/>
            </w:tcMar>
            <w:vAlign w:val="bottom"/>
          </w:tcPr>
          <w:p w:rsidR="00A8526A" w:rsidRPr="00A154B0" w:rsidRDefault="00A8526A" w:rsidP="00A8526A">
            <w:pPr>
              <w:widowControl w:val="0"/>
              <w:autoSpaceDE w:val="0"/>
              <w:autoSpaceDN w:val="0"/>
              <w:adjustRightInd w:val="0"/>
              <w:spacing w:after="0"/>
              <w:rPr>
                <w:rFonts w:ascii="Arial" w:hAnsi="Arial" w:cs="Times"/>
                <w:color w:val="333333"/>
                <w:szCs w:val="28"/>
                <w:lang w:val="en-US"/>
              </w:rPr>
            </w:pPr>
          </w:p>
        </w:tc>
        <w:tc>
          <w:tcPr>
            <w:tcW w:w="7654" w:type="dxa"/>
            <w:tcMar>
              <w:top w:w="140" w:type="nil"/>
              <w:left w:w="100" w:type="nil"/>
              <w:bottom w:w="100" w:type="nil"/>
              <w:right w:w="140" w:type="nil"/>
            </w:tcMar>
          </w:tcPr>
          <w:p w:rsidR="00A8526A" w:rsidRPr="00A154B0" w:rsidRDefault="00A8526A" w:rsidP="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b/>
                <w:bCs/>
                <w:color w:val="333333"/>
                <w:szCs w:val="28"/>
                <w:lang w:val="en-US"/>
              </w:rPr>
              <w:t>(b) Capital gains tax — amendment to include concessional treatment for revenue assets and trading stock</w:t>
            </w:r>
          </w:p>
        </w:tc>
        <w:tc>
          <w:tcPr>
            <w:tcW w:w="2835" w:type="dxa"/>
            <w:tcMar>
              <w:top w:w="140" w:type="nil"/>
              <w:left w:w="100" w:type="nil"/>
              <w:bottom w:w="100" w:type="nil"/>
              <w:right w:w="140" w:type="nil"/>
            </w:tcMar>
          </w:tcPr>
          <w:p w:rsidR="00A8526A" w:rsidRPr="00A154B0" w:rsidRDefault="00A8526A" w:rsidP="00A8526A">
            <w:pPr>
              <w:widowControl w:val="0"/>
              <w:autoSpaceDE w:val="0"/>
              <w:autoSpaceDN w:val="0"/>
              <w:adjustRightInd w:val="0"/>
              <w:spacing w:after="0" w:line="320" w:lineRule="atLeast"/>
              <w:rPr>
                <w:rFonts w:ascii="Arial" w:hAnsi="Arial" w:cs="Times"/>
                <w:color w:val="333333"/>
                <w:szCs w:val="28"/>
                <w:lang w:val="en-US"/>
              </w:rPr>
            </w:pPr>
          </w:p>
        </w:tc>
        <w:tc>
          <w:tcPr>
            <w:tcW w:w="2268" w:type="dxa"/>
            <w:tcMar>
              <w:top w:w="140" w:type="nil"/>
              <w:left w:w="100" w:type="nil"/>
              <w:bottom w:w="100" w:type="nil"/>
              <w:right w:w="140" w:type="nil"/>
            </w:tcMar>
          </w:tcPr>
          <w:p w:rsidR="00A8526A" w:rsidRPr="00A154B0" w:rsidRDefault="00A8526A" w:rsidP="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color w:val="333333"/>
                <w:szCs w:val="28"/>
                <w:lang w:val="en-US"/>
              </w:rPr>
              <w:t>(b) 10 May 2011</w:t>
            </w:r>
          </w:p>
        </w:tc>
      </w:tr>
      <w:tr w:rsidR="00A8526A" w:rsidRPr="00A154B0">
        <w:tc>
          <w:tcPr>
            <w:tcW w:w="959" w:type="dxa"/>
            <w:vMerge/>
            <w:tcMar>
              <w:top w:w="140" w:type="nil"/>
              <w:left w:w="100" w:type="nil"/>
              <w:bottom w:w="100" w:type="nil"/>
              <w:right w:w="140" w:type="nil"/>
            </w:tcMar>
            <w:vAlign w:val="bottom"/>
          </w:tcPr>
          <w:p w:rsidR="00A8526A" w:rsidRPr="00A154B0" w:rsidRDefault="00A8526A" w:rsidP="00A8526A">
            <w:pPr>
              <w:widowControl w:val="0"/>
              <w:autoSpaceDE w:val="0"/>
              <w:autoSpaceDN w:val="0"/>
              <w:adjustRightInd w:val="0"/>
              <w:spacing w:after="0"/>
              <w:rPr>
                <w:rFonts w:ascii="Arial" w:hAnsi="Arial" w:cs="Times"/>
                <w:color w:val="333333"/>
                <w:szCs w:val="28"/>
                <w:lang w:val="en-US"/>
              </w:rPr>
            </w:pPr>
          </w:p>
        </w:tc>
        <w:tc>
          <w:tcPr>
            <w:tcW w:w="7654" w:type="dxa"/>
            <w:tcMar>
              <w:top w:w="140" w:type="nil"/>
              <w:left w:w="100" w:type="nil"/>
              <w:bottom w:w="100" w:type="nil"/>
              <w:right w:w="140" w:type="nil"/>
            </w:tcMar>
          </w:tcPr>
          <w:p w:rsidR="00A8526A" w:rsidRPr="00A154B0" w:rsidRDefault="00A8526A" w:rsidP="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b/>
                <w:bCs/>
                <w:color w:val="333333"/>
                <w:szCs w:val="28"/>
                <w:lang w:val="en-US"/>
              </w:rPr>
              <w:t xml:space="preserve">(c) Capital gains tax — amendment to the revenue asset and trading stock </w:t>
            </w:r>
            <w:proofErr w:type="gramStart"/>
            <w:r w:rsidRPr="00A154B0">
              <w:rPr>
                <w:rFonts w:ascii="Arial" w:hAnsi="Arial" w:cs="Times"/>
                <w:b/>
                <w:bCs/>
                <w:color w:val="333333"/>
                <w:szCs w:val="28"/>
                <w:lang w:val="en-US"/>
              </w:rPr>
              <w:t>roll-overs</w:t>
            </w:r>
            <w:proofErr w:type="gramEnd"/>
            <w:r w:rsidRPr="00A154B0">
              <w:rPr>
                <w:rFonts w:ascii="Arial" w:hAnsi="Arial" w:cs="Times"/>
                <w:b/>
                <w:bCs/>
                <w:color w:val="333333"/>
                <w:szCs w:val="28"/>
                <w:lang w:val="en-US"/>
              </w:rPr>
              <w:t xml:space="preserve"> for interposing a company.</w:t>
            </w:r>
            <w:r w:rsidRPr="00A154B0">
              <w:rPr>
                <w:rFonts w:ascii="Arial" w:hAnsi="Arial" w:cs="Times"/>
                <w:color w:val="333333"/>
                <w:szCs w:val="28"/>
                <w:lang w:val="en-US"/>
              </w:rPr>
              <w:t xml:space="preserve"> Extends the CGT roll</w:t>
            </w:r>
            <w:r w:rsidRPr="00A154B0">
              <w:rPr>
                <w:rFonts w:ascii="Arial" w:hAnsi="Monaco" w:cs="Monaco"/>
                <w:color w:val="333333"/>
                <w:szCs w:val="28"/>
                <w:lang w:val="en-US"/>
              </w:rPr>
              <w:t>‑</w:t>
            </w:r>
            <w:r w:rsidRPr="00A154B0">
              <w:rPr>
                <w:rFonts w:ascii="Arial" w:hAnsi="Arial" w:cs="Times"/>
                <w:color w:val="333333"/>
                <w:szCs w:val="28"/>
                <w:lang w:val="en-US"/>
              </w:rPr>
              <w:t>overs for business restructures.</w:t>
            </w:r>
          </w:p>
        </w:tc>
        <w:tc>
          <w:tcPr>
            <w:tcW w:w="2835" w:type="dxa"/>
            <w:tcMar>
              <w:top w:w="140" w:type="nil"/>
              <w:left w:w="100" w:type="nil"/>
              <w:bottom w:w="100" w:type="nil"/>
              <w:right w:w="140" w:type="nil"/>
            </w:tcMar>
          </w:tcPr>
          <w:p w:rsidR="00A8526A" w:rsidRPr="00A154B0" w:rsidRDefault="00A8526A" w:rsidP="00A8526A">
            <w:pPr>
              <w:widowControl w:val="0"/>
              <w:autoSpaceDE w:val="0"/>
              <w:autoSpaceDN w:val="0"/>
              <w:adjustRightInd w:val="0"/>
              <w:spacing w:after="0" w:line="320" w:lineRule="atLeast"/>
              <w:rPr>
                <w:rFonts w:ascii="Arial" w:hAnsi="Arial" w:cs="Times"/>
                <w:color w:val="333333"/>
                <w:szCs w:val="28"/>
                <w:lang w:val="en-US"/>
              </w:rPr>
            </w:pPr>
          </w:p>
        </w:tc>
        <w:tc>
          <w:tcPr>
            <w:tcW w:w="2268" w:type="dxa"/>
            <w:tcMar>
              <w:top w:w="140" w:type="nil"/>
              <w:left w:w="100" w:type="nil"/>
              <w:bottom w:w="100" w:type="nil"/>
              <w:right w:w="140" w:type="nil"/>
            </w:tcMar>
          </w:tcPr>
          <w:p w:rsidR="00A8526A" w:rsidRPr="00A154B0" w:rsidRDefault="00A8526A" w:rsidP="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color w:val="333333"/>
                <w:szCs w:val="28"/>
                <w:lang w:val="en-US"/>
              </w:rPr>
              <w:t>(c) 8 May 2012</w:t>
            </w:r>
          </w:p>
        </w:tc>
      </w:tr>
      <w:tr w:rsidR="00A8526A" w:rsidRPr="00A154B0">
        <w:tc>
          <w:tcPr>
            <w:tcW w:w="959" w:type="dxa"/>
            <w:tcMar>
              <w:top w:w="140" w:type="nil"/>
              <w:left w:w="100" w:type="nil"/>
              <w:bottom w:w="100" w:type="nil"/>
              <w:right w:w="140" w:type="nil"/>
            </w:tcMar>
          </w:tcPr>
          <w:p w:rsidR="00A8526A" w:rsidRPr="00A154B0" w:rsidRDefault="002D4FD0" w:rsidP="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color w:val="333333"/>
                <w:szCs w:val="28"/>
                <w:lang w:val="en-US"/>
              </w:rPr>
              <w:t>30</w:t>
            </w:r>
          </w:p>
        </w:tc>
        <w:tc>
          <w:tcPr>
            <w:tcW w:w="7654" w:type="dxa"/>
            <w:tcMar>
              <w:top w:w="140" w:type="nil"/>
              <w:left w:w="100" w:type="nil"/>
              <w:bottom w:w="100" w:type="nil"/>
              <w:right w:w="140" w:type="nil"/>
            </w:tcMar>
          </w:tcPr>
          <w:p w:rsidR="00A8526A" w:rsidRPr="00A154B0" w:rsidRDefault="00A8526A" w:rsidP="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b/>
                <w:bCs/>
                <w:color w:val="333333"/>
                <w:szCs w:val="28"/>
                <w:lang w:val="en-US"/>
              </w:rPr>
              <w:t>Superannuation — greater certainty in relation to fund mergers.</w:t>
            </w:r>
            <w:r w:rsidRPr="00A154B0">
              <w:rPr>
                <w:rFonts w:ascii="Arial" w:hAnsi="Arial" w:cs="Times"/>
                <w:color w:val="333333"/>
                <w:szCs w:val="28"/>
                <w:lang w:val="en-US"/>
              </w:rPr>
              <w:t xml:space="preserve"> Clarifies that the proportioning rule in the superannuation tax law does not apply to fund mergers.</w:t>
            </w:r>
          </w:p>
        </w:tc>
        <w:tc>
          <w:tcPr>
            <w:tcW w:w="2835" w:type="dxa"/>
            <w:tcMar>
              <w:top w:w="140" w:type="nil"/>
              <w:left w:w="100" w:type="nil"/>
              <w:bottom w:w="100" w:type="nil"/>
              <w:right w:w="140" w:type="nil"/>
            </w:tcMar>
          </w:tcPr>
          <w:p w:rsidR="00A8526A" w:rsidRPr="00A154B0" w:rsidRDefault="00A8526A" w:rsidP="00A8526A">
            <w:pPr>
              <w:widowControl w:val="0"/>
              <w:autoSpaceDE w:val="0"/>
              <w:autoSpaceDN w:val="0"/>
              <w:adjustRightInd w:val="0"/>
              <w:spacing w:after="0" w:line="320" w:lineRule="atLeast"/>
              <w:rPr>
                <w:rFonts w:ascii="Arial" w:hAnsi="Arial" w:cs="Times"/>
                <w:color w:val="333333"/>
                <w:szCs w:val="28"/>
                <w:lang w:val="en-US"/>
              </w:rPr>
            </w:pPr>
          </w:p>
        </w:tc>
        <w:tc>
          <w:tcPr>
            <w:tcW w:w="2268" w:type="dxa"/>
            <w:tcMar>
              <w:top w:w="140" w:type="nil"/>
              <w:left w:w="100" w:type="nil"/>
              <w:bottom w:w="100" w:type="nil"/>
              <w:right w:w="140" w:type="nil"/>
            </w:tcMar>
          </w:tcPr>
          <w:p w:rsidR="00A8526A" w:rsidRPr="00A154B0" w:rsidRDefault="00A8526A" w:rsidP="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color w:val="333333"/>
                <w:szCs w:val="28"/>
                <w:lang w:val="en-US"/>
              </w:rPr>
              <w:t>1-Jul-15</w:t>
            </w:r>
          </w:p>
        </w:tc>
      </w:tr>
      <w:tr w:rsidR="00A8526A" w:rsidRPr="00A154B0">
        <w:tc>
          <w:tcPr>
            <w:tcW w:w="959" w:type="dxa"/>
            <w:tcMar>
              <w:top w:w="140" w:type="nil"/>
              <w:left w:w="100" w:type="nil"/>
              <w:bottom w:w="100" w:type="nil"/>
              <w:right w:w="140" w:type="nil"/>
            </w:tcMar>
          </w:tcPr>
          <w:p w:rsidR="00A8526A" w:rsidRPr="00A154B0" w:rsidRDefault="002D4FD0" w:rsidP="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color w:val="333333"/>
                <w:szCs w:val="28"/>
                <w:lang w:val="en-US"/>
              </w:rPr>
              <w:t>31</w:t>
            </w:r>
          </w:p>
        </w:tc>
        <w:tc>
          <w:tcPr>
            <w:tcW w:w="7654" w:type="dxa"/>
            <w:tcMar>
              <w:top w:w="140" w:type="nil"/>
              <w:left w:w="100" w:type="nil"/>
              <w:bottom w:w="100" w:type="nil"/>
              <w:right w:w="140" w:type="nil"/>
            </w:tcMar>
          </w:tcPr>
          <w:p w:rsidR="00A8526A" w:rsidRPr="00A154B0" w:rsidRDefault="00A8526A" w:rsidP="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b/>
                <w:bCs/>
                <w:color w:val="333333"/>
                <w:szCs w:val="28"/>
                <w:lang w:val="en-US"/>
              </w:rPr>
              <w:t>Stronger Super — unlawful payments from regulated superannuation funds — promotion of illegal early release schemes.</w:t>
            </w:r>
            <w:r w:rsidRPr="00A154B0">
              <w:rPr>
                <w:rFonts w:ascii="Arial" w:hAnsi="Arial" w:cs="Times"/>
                <w:color w:val="333333"/>
                <w:szCs w:val="28"/>
                <w:lang w:val="en-US"/>
              </w:rPr>
              <w:t xml:space="preserve"> Introduces penalties for promoting schemes designed to obtain the illegal release of superannuation benefits.</w:t>
            </w:r>
          </w:p>
        </w:tc>
        <w:tc>
          <w:tcPr>
            <w:tcW w:w="2835" w:type="dxa"/>
            <w:tcMar>
              <w:top w:w="140" w:type="nil"/>
              <w:left w:w="100" w:type="nil"/>
              <w:bottom w:w="100" w:type="nil"/>
              <w:right w:w="140" w:type="nil"/>
            </w:tcMar>
          </w:tcPr>
          <w:p w:rsidR="00A8526A" w:rsidRPr="00A154B0" w:rsidRDefault="00592FA9" w:rsidP="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color w:val="333333"/>
                <w:szCs w:val="28"/>
                <w:lang w:val="en-US"/>
              </w:rPr>
              <w:t xml:space="preserve">Tax and </w:t>
            </w:r>
            <w:proofErr w:type="gramStart"/>
            <w:r w:rsidRPr="00A154B0">
              <w:rPr>
                <w:rFonts w:ascii="Arial" w:hAnsi="Arial" w:cs="Times"/>
                <w:color w:val="333333"/>
                <w:szCs w:val="28"/>
                <w:lang w:val="en-US"/>
              </w:rPr>
              <w:t>Superannuation  Laws</w:t>
            </w:r>
            <w:proofErr w:type="gramEnd"/>
            <w:r w:rsidRPr="00A154B0">
              <w:rPr>
                <w:rFonts w:ascii="Arial" w:hAnsi="Arial" w:cs="Times"/>
                <w:color w:val="333333"/>
                <w:szCs w:val="28"/>
                <w:lang w:val="en-US"/>
              </w:rPr>
              <w:t xml:space="preserve"> Amendment (2014 Measures No 1) Bill 2014</w:t>
            </w:r>
          </w:p>
        </w:tc>
        <w:tc>
          <w:tcPr>
            <w:tcW w:w="2268" w:type="dxa"/>
            <w:tcMar>
              <w:top w:w="140" w:type="nil"/>
              <w:left w:w="100" w:type="nil"/>
              <w:bottom w:w="100" w:type="nil"/>
              <w:right w:w="140" w:type="nil"/>
            </w:tcMar>
          </w:tcPr>
          <w:p w:rsidR="00A8526A" w:rsidRPr="00A154B0" w:rsidRDefault="00A8526A" w:rsidP="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color w:val="333333"/>
                <w:szCs w:val="28"/>
                <w:lang w:val="en-US"/>
              </w:rPr>
              <w:t>Royal Assent</w:t>
            </w:r>
          </w:p>
        </w:tc>
      </w:tr>
      <w:tr w:rsidR="00A8526A" w:rsidRPr="00A154B0">
        <w:tc>
          <w:tcPr>
            <w:tcW w:w="959" w:type="dxa"/>
            <w:tcMar>
              <w:top w:w="140" w:type="nil"/>
              <w:left w:w="100" w:type="nil"/>
              <w:bottom w:w="100" w:type="nil"/>
              <w:right w:w="140" w:type="nil"/>
            </w:tcMar>
          </w:tcPr>
          <w:p w:rsidR="00A8526A" w:rsidRPr="00A154B0" w:rsidRDefault="002D4FD0" w:rsidP="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color w:val="333333"/>
                <w:szCs w:val="28"/>
                <w:lang w:val="en-US"/>
              </w:rPr>
              <w:t>32</w:t>
            </w:r>
          </w:p>
        </w:tc>
        <w:tc>
          <w:tcPr>
            <w:tcW w:w="7654" w:type="dxa"/>
            <w:tcMar>
              <w:top w:w="140" w:type="nil"/>
              <w:left w:w="100" w:type="nil"/>
              <w:bottom w:w="100" w:type="nil"/>
              <w:right w:w="140" w:type="nil"/>
            </w:tcMar>
          </w:tcPr>
          <w:p w:rsidR="00A8526A" w:rsidRPr="00A154B0" w:rsidRDefault="00A8526A" w:rsidP="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b/>
                <w:bCs/>
                <w:color w:val="333333"/>
                <w:szCs w:val="28"/>
                <w:lang w:val="en-US"/>
              </w:rPr>
              <w:t>Stronger Super — self managed super funds-administrative directions and penalties.</w:t>
            </w:r>
            <w:r w:rsidRPr="00A154B0">
              <w:rPr>
                <w:rFonts w:ascii="Arial" w:hAnsi="Arial" w:cs="Times"/>
                <w:color w:val="333333"/>
                <w:szCs w:val="28"/>
                <w:lang w:val="en-US"/>
              </w:rPr>
              <w:t xml:space="preserve"> Gives the ATO flexible and cost</w:t>
            </w:r>
            <w:r w:rsidRPr="00A154B0">
              <w:rPr>
                <w:rFonts w:ascii="Arial" w:hAnsi="Monaco" w:cs="Monaco"/>
                <w:color w:val="333333"/>
                <w:szCs w:val="28"/>
                <w:lang w:val="en-US"/>
              </w:rPr>
              <w:t>‑</w:t>
            </w:r>
            <w:r w:rsidRPr="00A154B0">
              <w:rPr>
                <w:rFonts w:ascii="Arial" w:hAnsi="Arial" w:cs="Times"/>
                <w:color w:val="333333"/>
                <w:szCs w:val="28"/>
                <w:lang w:val="en-US"/>
              </w:rPr>
              <w:t>effective penalty options to deal with SMSFs that breach the law.</w:t>
            </w:r>
          </w:p>
        </w:tc>
        <w:tc>
          <w:tcPr>
            <w:tcW w:w="2835" w:type="dxa"/>
            <w:tcMar>
              <w:top w:w="140" w:type="nil"/>
              <w:left w:w="100" w:type="nil"/>
              <w:bottom w:w="100" w:type="nil"/>
              <w:right w:w="140" w:type="nil"/>
            </w:tcMar>
          </w:tcPr>
          <w:p w:rsidR="00A8526A" w:rsidRPr="00A154B0" w:rsidRDefault="00592FA9" w:rsidP="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color w:val="333333"/>
                <w:szCs w:val="28"/>
                <w:lang w:val="en-US"/>
              </w:rPr>
              <w:t xml:space="preserve">Tax and </w:t>
            </w:r>
            <w:proofErr w:type="gramStart"/>
            <w:r w:rsidRPr="00A154B0">
              <w:rPr>
                <w:rFonts w:ascii="Arial" w:hAnsi="Arial" w:cs="Times"/>
                <w:color w:val="333333"/>
                <w:szCs w:val="28"/>
                <w:lang w:val="en-US"/>
              </w:rPr>
              <w:t>Superannuation  Laws</w:t>
            </w:r>
            <w:proofErr w:type="gramEnd"/>
            <w:r w:rsidRPr="00A154B0">
              <w:rPr>
                <w:rFonts w:ascii="Arial" w:hAnsi="Arial" w:cs="Times"/>
                <w:color w:val="333333"/>
                <w:szCs w:val="28"/>
                <w:lang w:val="en-US"/>
              </w:rPr>
              <w:t xml:space="preserve"> Amendment (2014 Measures No 1) Bill 2014</w:t>
            </w:r>
          </w:p>
        </w:tc>
        <w:tc>
          <w:tcPr>
            <w:tcW w:w="2268" w:type="dxa"/>
            <w:tcMar>
              <w:top w:w="140" w:type="nil"/>
              <w:left w:w="100" w:type="nil"/>
              <w:bottom w:w="100" w:type="nil"/>
              <w:right w:w="140" w:type="nil"/>
            </w:tcMar>
          </w:tcPr>
          <w:p w:rsidR="00A8526A" w:rsidRPr="00A154B0" w:rsidRDefault="00A8526A" w:rsidP="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color w:val="333333"/>
                <w:szCs w:val="28"/>
                <w:lang w:val="en-US"/>
              </w:rPr>
              <w:t>1-Jul-14</w:t>
            </w:r>
          </w:p>
        </w:tc>
      </w:tr>
      <w:tr w:rsidR="00A8526A" w:rsidRPr="00A154B0">
        <w:tc>
          <w:tcPr>
            <w:tcW w:w="959" w:type="dxa"/>
            <w:tcMar>
              <w:top w:w="140" w:type="nil"/>
              <w:left w:w="100" w:type="nil"/>
              <w:bottom w:w="100" w:type="nil"/>
              <w:right w:w="140" w:type="nil"/>
            </w:tcMar>
          </w:tcPr>
          <w:p w:rsidR="00A8526A" w:rsidRPr="00A154B0" w:rsidRDefault="002D4FD0" w:rsidP="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color w:val="333333"/>
                <w:szCs w:val="28"/>
                <w:lang w:val="en-US"/>
              </w:rPr>
              <w:t>33</w:t>
            </w:r>
          </w:p>
        </w:tc>
        <w:tc>
          <w:tcPr>
            <w:tcW w:w="7654" w:type="dxa"/>
            <w:tcMar>
              <w:top w:w="140" w:type="nil"/>
              <w:left w:w="100" w:type="nil"/>
              <w:bottom w:w="100" w:type="nil"/>
              <w:right w:w="140" w:type="nil"/>
            </w:tcMar>
          </w:tcPr>
          <w:p w:rsidR="00A8526A" w:rsidRPr="00A154B0" w:rsidRDefault="00A8526A" w:rsidP="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b/>
                <w:bCs/>
                <w:color w:val="333333"/>
                <w:szCs w:val="28"/>
                <w:lang w:val="en-US"/>
              </w:rPr>
              <w:t>Debt/equity tax rules — limiting scope of integrity rule.</w:t>
            </w:r>
            <w:r w:rsidRPr="00A154B0">
              <w:rPr>
                <w:rFonts w:ascii="Arial" w:hAnsi="Arial" w:cs="Times"/>
                <w:color w:val="333333"/>
                <w:szCs w:val="28"/>
                <w:lang w:val="en-US"/>
              </w:rPr>
              <w:t xml:space="preserve"> Limits the scope of an integrity provision in the debt/equity rules to prevent unintended outcomes.</w:t>
            </w:r>
            <w:r w:rsidR="00F85EAC" w:rsidRPr="00A154B0">
              <w:rPr>
                <w:rFonts w:ascii="Arial" w:hAnsi="Arial" w:cs="Times"/>
                <w:color w:val="333333"/>
                <w:szCs w:val="28"/>
                <w:lang w:val="en-US"/>
              </w:rPr>
              <w:t xml:space="preserve"> </w:t>
            </w:r>
            <w:r w:rsidRPr="00A154B0">
              <w:rPr>
                <w:rFonts w:ascii="Arial" w:hAnsi="Arial" w:cs="Times"/>
                <w:color w:val="333333"/>
                <w:szCs w:val="28"/>
                <w:lang w:val="en-US"/>
              </w:rPr>
              <w:t>The design of this measure will be considered as part of the post-implementation review of the debt-equity provisions, currently being conducted by the Board of Taxation.</w:t>
            </w:r>
          </w:p>
        </w:tc>
        <w:tc>
          <w:tcPr>
            <w:tcW w:w="2835" w:type="dxa"/>
            <w:tcMar>
              <w:top w:w="140" w:type="nil"/>
              <w:left w:w="100" w:type="nil"/>
              <w:bottom w:w="100" w:type="nil"/>
              <w:right w:w="140" w:type="nil"/>
            </w:tcMar>
          </w:tcPr>
          <w:p w:rsidR="00A8526A" w:rsidRPr="00A154B0" w:rsidRDefault="00A8526A" w:rsidP="00A8526A">
            <w:pPr>
              <w:widowControl w:val="0"/>
              <w:autoSpaceDE w:val="0"/>
              <w:autoSpaceDN w:val="0"/>
              <w:adjustRightInd w:val="0"/>
              <w:spacing w:after="0" w:line="320" w:lineRule="atLeast"/>
              <w:rPr>
                <w:rFonts w:ascii="Arial" w:hAnsi="Arial" w:cs="Times"/>
                <w:color w:val="333333"/>
                <w:szCs w:val="28"/>
                <w:lang w:val="en-US"/>
              </w:rPr>
            </w:pPr>
          </w:p>
        </w:tc>
        <w:tc>
          <w:tcPr>
            <w:tcW w:w="2268" w:type="dxa"/>
            <w:tcMar>
              <w:top w:w="140" w:type="nil"/>
              <w:left w:w="100" w:type="nil"/>
              <w:bottom w:w="100" w:type="nil"/>
              <w:right w:w="140" w:type="nil"/>
            </w:tcMar>
          </w:tcPr>
          <w:p w:rsidR="00A8526A" w:rsidRPr="00A154B0" w:rsidRDefault="00A8526A" w:rsidP="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color w:val="333333"/>
                <w:szCs w:val="28"/>
                <w:lang w:val="en-US"/>
              </w:rPr>
              <w:t>1-Jul-01</w:t>
            </w:r>
          </w:p>
        </w:tc>
      </w:tr>
      <w:tr w:rsidR="00A8526A" w:rsidRPr="00A154B0">
        <w:tc>
          <w:tcPr>
            <w:tcW w:w="959" w:type="dxa"/>
            <w:tcMar>
              <w:top w:w="140" w:type="nil"/>
              <w:left w:w="100" w:type="nil"/>
              <w:bottom w:w="100" w:type="nil"/>
              <w:right w:w="140" w:type="nil"/>
            </w:tcMar>
          </w:tcPr>
          <w:p w:rsidR="00A8526A" w:rsidRPr="00A154B0" w:rsidRDefault="002D4FD0" w:rsidP="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color w:val="333333"/>
                <w:szCs w:val="28"/>
                <w:lang w:val="en-US"/>
              </w:rPr>
              <w:t>34</w:t>
            </w:r>
          </w:p>
        </w:tc>
        <w:tc>
          <w:tcPr>
            <w:tcW w:w="7654" w:type="dxa"/>
            <w:tcMar>
              <w:top w:w="140" w:type="nil"/>
              <w:left w:w="100" w:type="nil"/>
              <w:bottom w:w="100" w:type="nil"/>
              <w:right w:w="140" w:type="nil"/>
            </w:tcMar>
          </w:tcPr>
          <w:p w:rsidR="00A8526A" w:rsidRPr="00A154B0" w:rsidRDefault="00A8526A" w:rsidP="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b/>
                <w:bCs/>
                <w:color w:val="333333"/>
                <w:szCs w:val="28"/>
                <w:lang w:val="en-US"/>
              </w:rPr>
              <w:t>Taxation of financial arrangements — foreign currency regulations — technical and compliance cost savings amendments.</w:t>
            </w:r>
            <w:r w:rsidRPr="00A154B0">
              <w:rPr>
                <w:rFonts w:ascii="Arial" w:hAnsi="Arial" w:cs="Times"/>
                <w:color w:val="333333"/>
                <w:szCs w:val="28"/>
                <w:lang w:val="en-US"/>
              </w:rPr>
              <w:t xml:space="preserve"> Makes minor technical amendments to the foreign currency provisions to provide further clarity.</w:t>
            </w:r>
            <w:r w:rsidR="00F85EAC" w:rsidRPr="00A154B0">
              <w:rPr>
                <w:rFonts w:ascii="Arial" w:hAnsi="Arial" w:cs="Times"/>
                <w:color w:val="333333"/>
                <w:szCs w:val="28"/>
                <w:lang w:val="en-US"/>
              </w:rPr>
              <w:t xml:space="preserve"> </w:t>
            </w:r>
            <w:r w:rsidRPr="00A154B0">
              <w:rPr>
                <w:rFonts w:ascii="Arial" w:hAnsi="Arial" w:cs="Times"/>
                <w:color w:val="333333"/>
                <w:szCs w:val="28"/>
                <w:lang w:val="en-US"/>
              </w:rPr>
              <w:t>The design of this measure will be considered as part of the broader TOFA review, to be conducted by Treasury in the second half of 2014.</w:t>
            </w:r>
          </w:p>
        </w:tc>
        <w:tc>
          <w:tcPr>
            <w:tcW w:w="2835" w:type="dxa"/>
            <w:tcMar>
              <w:top w:w="140" w:type="nil"/>
              <w:left w:w="100" w:type="nil"/>
              <w:bottom w:w="100" w:type="nil"/>
              <w:right w:w="140" w:type="nil"/>
            </w:tcMar>
          </w:tcPr>
          <w:p w:rsidR="00A8526A" w:rsidRPr="00A154B0" w:rsidRDefault="00A8526A" w:rsidP="00A8526A">
            <w:pPr>
              <w:widowControl w:val="0"/>
              <w:autoSpaceDE w:val="0"/>
              <w:autoSpaceDN w:val="0"/>
              <w:adjustRightInd w:val="0"/>
              <w:spacing w:after="0" w:line="320" w:lineRule="atLeast"/>
              <w:rPr>
                <w:rFonts w:ascii="Arial" w:hAnsi="Arial" w:cs="Times"/>
                <w:color w:val="333333"/>
                <w:szCs w:val="28"/>
                <w:lang w:val="en-US"/>
              </w:rPr>
            </w:pPr>
          </w:p>
        </w:tc>
        <w:tc>
          <w:tcPr>
            <w:tcW w:w="2268" w:type="dxa"/>
            <w:tcMar>
              <w:top w:w="140" w:type="nil"/>
              <w:left w:w="100" w:type="nil"/>
              <w:bottom w:w="100" w:type="nil"/>
              <w:right w:w="140" w:type="nil"/>
            </w:tcMar>
          </w:tcPr>
          <w:p w:rsidR="00A8526A" w:rsidRPr="00A154B0" w:rsidRDefault="00A8526A" w:rsidP="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color w:val="333333"/>
                <w:szCs w:val="28"/>
                <w:lang w:val="en-US"/>
              </w:rPr>
              <w:t>1-Jul-03</w:t>
            </w:r>
          </w:p>
        </w:tc>
      </w:tr>
      <w:tr w:rsidR="00A8526A" w:rsidRPr="00A154B0">
        <w:tc>
          <w:tcPr>
            <w:tcW w:w="959" w:type="dxa"/>
            <w:tcMar>
              <w:top w:w="140" w:type="nil"/>
              <w:left w:w="100" w:type="nil"/>
              <w:bottom w:w="100" w:type="nil"/>
              <w:right w:w="140" w:type="nil"/>
            </w:tcMar>
          </w:tcPr>
          <w:p w:rsidR="00A8526A" w:rsidRPr="00A154B0" w:rsidRDefault="00A8526A">
            <w:pPr>
              <w:widowControl w:val="0"/>
              <w:autoSpaceDE w:val="0"/>
              <w:autoSpaceDN w:val="0"/>
              <w:adjustRightInd w:val="0"/>
              <w:spacing w:after="0" w:line="320" w:lineRule="atLeast"/>
              <w:rPr>
                <w:rFonts w:ascii="Arial" w:hAnsi="Arial" w:cs="Times"/>
                <w:b/>
                <w:bCs/>
                <w:color w:val="333333"/>
                <w:szCs w:val="28"/>
                <w:lang w:val="en-US"/>
              </w:rPr>
            </w:pPr>
          </w:p>
        </w:tc>
        <w:tc>
          <w:tcPr>
            <w:tcW w:w="7654" w:type="dxa"/>
            <w:tcMar>
              <w:top w:w="140" w:type="nil"/>
              <w:left w:w="100" w:type="nil"/>
              <w:bottom w:w="100" w:type="nil"/>
              <w:right w:w="140" w:type="nil"/>
            </w:tcMar>
          </w:tcPr>
          <w:p w:rsidR="00A8526A" w:rsidRPr="00A154B0" w:rsidRDefault="00A8526A">
            <w:pPr>
              <w:widowControl w:val="0"/>
              <w:autoSpaceDE w:val="0"/>
              <w:autoSpaceDN w:val="0"/>
              <w:adjustRightInd w:val="0"/>
              <w:spacing w:after="0" w:line="320" w:lineRule="atLeast"/>
              <w:rPr>
                <w:rFonts w:ascii="Arial" w:hAnsi="Arial" w:cs="Times"/>
                <w:b/>
                <w:bCs/>
                <w:color w:val="333333"/>
                <w:szCs w:val="28"/>
                <w:lang w:val="en-US"/>
              </w:rPr>
            </w:pPr>
          </w:p>
          <w:p w:rsidR="00A8526A" w:rsidRPr="00A154B0" w:rsidRDefault="00A8526A">
            <w:pPr>
              <w:widowControl w:val="0"/>
              <w:autoSpaceDE w:val="0"/>
              <w:autoSpaceDN w:val="0"/>
              <w:adjustRightInd w:val="0"/>
              <w:spacing w:after="0" w:line="320" w:lineRule="atLeast"/>
              <w:rPr>
                <w:rFonts w:ascii="Arial" w:hAnsi="Arial" w:cs="Times"/>
                <w:b/>
                <w:bCs/>
                <w:color w:val="333333"/>
                <w:szCs w:val="28"/>
                <w:lang w:val="en-US"/>
              </w:rPr>
            </w:pPr>
            <w:r w:rsidRPr="00A154B0">
              <w:rPr>
                <w:rFonts w:ascii="Arial" w:hAnsi="Arial" w:cs="Times"/>
                <w:b/>
                <w:bCs/>
                <w:color w:val="333333"/>
                <w:szCs w:val="28"/>
                <w:lang w:val="en-US"/>
              </w:rPr>
              <w:t>Proceed with Amendment</w:t>
            </w:r>
          </w:p>
          <w:p w:rsidR="00A8526A" w:rsidRPr="00A154B0" w:rsidRDefault="00A8526A">
            <w:pPr>
              <w:widowControl w:val="0"/>
              <w:autoSpaceDE w:val="0"/>
              <w:autoSpaceDN w:val="0"/>
              <w:adjustRightInd w:val="0"/>
              <w:spacing w:after="0" w:line="320" w:lineRule="atLeast"/>
              <w:rPr>
                <w:rFonts w:ascii="Arial" w:hAnsi="Arial" w:cs="Times"/>
                <w:b/>
                <w:bCs/>
                <w:color w:val="333333"/>
                <w:szCs w:val="28"/>
                <w:lang w:val="en-US"/>
              </w:rPr>
            </w:pPr>
          </w:p>
        </w:tc>
        <w:tc>
          <w:tcPr>
            <w:tcW w:w="2835" w:type="dxa"/>
            <w:tcMar>
              <w:top w:w="140" w:type="nil"/>
              <w:left w:w="100" w:type="nil"/>
              <w:bottom w:w="100" w:type="nil"/>
              <w:right w:w="140" w:type="nil"/>
            </w:tcMar>
          </w:tcPr>
          <w:p w:rsidR="00A8526A" w:rsidRPr="00A154B0" w:rsidRDefault="00A8526A">
            <w:pPr>
              <w:widowControl w:val="0"/>
              <w:autoSpaceDE w:val="0"/>
              <w:autoSpaceDN w:val="0"/>
              <w:adjustRightInd w:val="0"/>
              <w:spacing w:after="0" w:line="320" w:lineRule="atLeast"/>
              <w:rPr>
                <w:rFonts w:ascii="Arial" w:hAnsi="Arial" w:cs="Times"/>
                <w:b/>
                <w:bCs/>
                <w:color w:val="333333"/>
                <w:szCs w:val="28"/>
                <w:lang w:val="en-US"/>
              </w:rPr>
            </w:pPr>
          </w:p>
        </w:tc>
        <w:tc>
          <w:tcPr>
            <w:tcW w:w="2268" w:type="dxa"/>
            <w:tcMar>
              <w:top w:w="140" w:type="nil"/>
              <w:left w:w="100" w:type="nil"/>
              <w:bottom w:w="100" w:type="nil"/>
              <w:right w:w="140" w:type="nil"/>
            </w:tcMar>
          </w:tcPr>
          <w:p w:rsidR="00A8526A" w:rsidRPr="00A154B0" w:rsidRDefault="00A8526A">
            <w:pPr>
              <w:widowControl w:val="0"/>
              <w:autoSpaceDE w:val="0"/>
              <w:autoSpaceDN w:val="0"/>
              <w:adjustRightInd w:val="0"/>
              <w:spacing w:after="0" w:line="320" w:lineRule="atLeast"/>
              <w:rPr>
                <w:rFonts w:ascii="Arial" w:hAnsi="Arial" w:cs="Times"/>
                <w:b/>
                <w:bCs/>
                <w:color w:val="333333"/>
                <w:szCs w:val="28"/>
                <w:lang w:val="en-US"/>
              </w:rPr>
            </w:pPr>
          </w:p>
        </w:tc>
      </w:tr>
      <w:tr w:rsidR="00592FA9" w:rsidRPr="00A154B0">
        <w:tc>
          <w:tcPr>
            <w:tcW w:w="959" w:type="dxa"/>
            <w:tcBorders>
              <w:bottom w:val="single" w:sz="8" w:space="0" w:color="999999"/>
            </w:tcBorders>
            <w:tcMar>
              <w:top w:w="140" w:type="nil"/>
              <w:left w:w="100" w:type="nil"/>
              <w:bottom w:w="100" w:type="nil"/>
              <w:right w:w="140" w:type="nil"/>
            </w:tcMar>
          </w:tcPr>
          <w:p w:rsidR="00592FA9" w:rsidRPr="00A154B0" w:rsidRDefault="00592FA9">
            <w:pPr>
              <w:widowControl w:val="0"/>
              <w:autoSpaceDE w:val="0"/>
              <w:autoSpaceDN w:val="0"/>
              <w:adjustRightInd w:val="0"/>
              <w:spacing w:after="0" w:line="320" w:lineRule="atLeast"/>
              <w:rPr>
                <w:rFonts w:ascii="Arial" w:hAnsi="Arial" w:cs="Times"/>
                <w:b/>
                <w:bCs/>
                <w:color w:val="333333"/>
                <w:szCs w:val="28"/>
                <w:lang w:val="en-US"/>
              </w:rPr>
            </w:pPr>
            <w:r w:rsidRPr="00A154B0">
              <w:rPr>
                <w:rFonts w:ascii="Arial" w:hAnsi="Arial" w:cs="Times"/>
                <w:b/>
                <w:bCs/>
                <w:color w:val="333333"/>
                <w:szCs w:val="28"/>
                <w:lang w:val="en-US"/>
              </w:rPr>
              <w:t>Item</w:t>
            </w:r>
          </w:p>
        </w:tc>
        <w:tc>
          <w:tcPr>
            <w:tcW w:w="7654" w:type="dxa"/>
            <w:tcBorders>
              <w:bottom w:val="single" w:sz="8" w:space="0" w:color="999999"/>
            </w:tcBorders>
            <w:tcMar>
              <w:top w:w="140" w:type="nil"/>
              <w:left w:w="100" w:type="nil"/>
              <w:bottom w:w="100" w:type="nil"/>
              <w:right w:w="140" w:type="nil"/>
            </w:tcMar>
          </w:tcPr>
          <w:p w:rsidR="00592FA9" w:rsidRPr="00A154B0" w:rsidRDefault="00592FA9">
            <w:pPr>
              <w:widowControl w:val="0"/>
              <w:autoSpaceDE w:val="0"/>
              <w:autoSpaceDN w:val="0"/>
              <w:adjustRightInd w:val="0"/>
              <w:spacing w:after="0" w:line="320" w:lineRule="atLeast"/>
              <w:rPr>
                <w:rFonts w:ascii="Arial" w:hAnsi="Arial" w:cs="Times"/>
                <w:b/>
                <w:bCs/>
                <w:color w:val="333333"/>
                <w:szCs w:val="28"/>
                <w:lang w:val="en-US"/>
              </w:rPr>
            </w:pPr>
            <w:r w:rsidRPr="00A154B0">
              <w:rPr>
                <w:rFonts w:ascii="Arial" w:hAnsi="Arial" w:cs="Times"/>
                <w:b/>
                <w:bCs/>
                <w:color w:val="333333"/>
                <w:szCs w:val="28"/>
                <w:lang w:val="en-US"/>
              </w:rPr>
              <w:t>Measure</w:t>
            </w:r>
          </w:p>
        </w:tc>
        <w:tc>
          <w:tcPr>
            <w:tcW w:w="2835" w:type="dxa"/>
          </w:tcPr>
          <w:p w:rsidR="00592FA9" w:rsidRPr="00A154B0" w:rsidRDefault="00592FA9" w:rsidP="00A8526A">
            <w:pPr>
              <w:widowControl w:val="0"/>
              <w:autoSpaceDE w:val="0"/>
              <w:autoSpaceDN w:val="0"/>
              <w:adjustRightInd w:val="0"/>
              <w:spacing w:after="0" w:line="320" w:lineRule="atLeast"/>
              <w:rPr>
                <w:rFonts w:ascii="Arial" w:hAnsi="Arial" w:cs="Times"/>
                <w:color w:val="333333"/>
                <w:szCs w:val="28"/>
                <w:lang w:val="en-US"/>
              </w:rPr>
            </w:pPr>
          </w:p>
        </w:tc>
        <w:tc>
          <w:tcPr>
            <w:tcW w:w="2268" w:type="dxa"/>
          </w:tcPr>
          <w:p w:rsidR="00592FA9" w:rsidRPr="00A154B0" w:rsidRDefault="00592FA9" w:rsidP="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color w:val="333333"/>
                <w:szCs w:val="28"/>
                <w:lang w:val="en-US"/>
              </w:rPr>
              <w:t>1-Jul-01</w:t>
            </w:r>
          </w:p>
        </w:tc>
      </w:tr>
      <w:tr w:rsidR="00592FA9" w:rsidRPr="00A154B0">
        <w:tc>
          <w:tcPr>
            <w:tcW w:w="959" w:type="dxa"/>
            <w:tcMar>
              <w:top w:w="140" w:type="nil"/>
              <w:left w:w="100" w:type="nil"/>
              <w:bottom w:w="100" w:type="nil"/>
              <w:right w:w="140" w:type="nil"/>
            </w:tcMar>
          </w:tcPr>
          <w:p w:rsidR="00592FA9" w:rsidRPr="00A154B0" w:rsidRDefault="002D4FD0">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color w:val="333333"/>
                <w:szCs w:val="28"/>
                <w:lang w:val="en-US"/>
              </w:rPr>
              <w:t>35</w:t>
            </w:r>
          </w:p>
        </w:tc>
        <w:tc>
          <w:tcPr>
            <w:tcW w:w="7654" w:type="dxa"/>
            <w:tcMar>
              <w:top w:w="140" w:type="nil"/>
              <w:left w:w="100" w:type="nil"/>
              <w:bottom w:w="100" w:type="nil"/>
              <w:right w:w="140" w:type="nil"/>
            </w:tcMar>
          </w:tcPr>
          <w:p w:rsidR="00592FA9" w:rsidRPr="00A154B0" w:rsidRDefault="00592FA9">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b/>
                <w:bCs/>
                <w:color w:val="333333"/>
                <w:szCs w:val="28"/>
                <w:lang w:val="en-US"/>
              </w:rPr>
              <w:t>Protecting the corporate tax base from erosion and loopholes — addressing aggressive tax structures that seek to shift profits by artificially loading debt into Australia — proceed with amendments.</w:t>
            </w:r>
          </w:p>
          <w:p w:rsidR="00592FA9" w:rsidRPr="00A154B0" w:rsidRDefault="00592FA9">
            <w:pPr>
              <w:widowControl w:val="0"/>
              <w:autoSpaceDE w:val="0"/>
              <w:autoSpaceDN w:val="0"/>
              <w:adjustRightInd w:val="0"/>
              <w:spacing w:after="0" w:line="320" w:lineRule="atLeast"/>
              <w:rPr>
                <w:rFonts w:ascii="Arial" w:hAnsi="Arial" w:cs="Times"/>
                <w:color w:val="333333"/>
                <w:szCs w:val="28"/>
                <w:lang w:val="en-US"/>
              </w:rPr>
            </w:pPr>
          </w:p>
          <w:p w:rsidR="00592FA9" w:rsidRPr="00A154B0" w:rsidRDefault="00592FA9">
            <w:pPr>
              <w:widowControl w:val="0"/>
              <w:numPr>
                <w:ilvl w:val="0"/>
                <w:numId w:val="1"/>
              </w:numPr>
              <w:tabs>
                <w:tab w:val="left" w:pos="220"/>
                <w:tab w:val="left" w:pos="720"/>
              </w:tabs>
              <w:autoSpaceDE w:val="0"/>
              <w:autoSpaceDN w:val="0"/>
              <w:adjustRightInd w:val="0"/>
              <w:spacing w:after="0" w:line="320" w:lineRule="atLeast"/>
              <w:ind w:left="720" w:hanging="720"/>
              <w:rPr>
                <w:rFonts w:ascii="Arial" w:hAnsi="Arial" w:cs="Times"/>
                <w:color w:val="333333"/>
                <w:szCs w:val="28"/>
                <w:lang w:val="en-US"/>
              </w:rPr>
            </w:pPr>
            <w:r w:rsidRPr="00A154B0">
              <w:rPr>
                <w:rFonts w:ascii="Arial" w:hAnsi="Arial" w:cs="Times"/>
                <w:color w:val="333333"/>
                <w:szCs w:val="28"/>
                <w:lang w:val="en-US"/>
              </w:rPr>
              <w:t>Tightening and improving the thin capitalisation rules is to proceed as previously announced.</w:t>
            </w:r>
          </w:p>
          <w:p w:rsidR="00592FA9" w:rsidRPr="00A154B0" w:rsidRDefault="00592FA9">
            <w:pPr>
              <w:widowControl w:val="0"/>
              <w:numPr>
                <w:ilvl w:val="0"/>
                <w:numId w:val="1"/>
              </w:numPr>
              <w:tabs>
                <w:tab w:val="left" w:pos="220"/>
                <w:tab w:val="left" w:pos="720"/>
              </w:tabs>
              <w:autoSpaceDE w:val="0"/>
              <w:autoSpaceDN w:val="0"/>
              <w:adjustRightInd w:val="0"/>
              <w:spacing w:after="0" w:line="320" w:lineRule="atLeast"/>
              <w:ind w:left="720" w:hanging="720"/>
              <w:rPr>
                <w:rFonts w:ascii="Arial" w:hAnsi="Arial" w:cs="Times"/>
                <w:color w:val="333333"/>
                <w:szCs w:val="28"/>
                <w:lang w:val="en-US"/>
              </w:rPr>
            </w:pPr>
            <w:proofErr w:type="gramStart"/>
            <w:r w:rsidRPr="00A154B0">
              <w:rPr>
                <w:rFonts w:ascii="Arial" w:hAnsi="Arial" w:cs="Times"/>
                <w:color w:val="333333"/>
                <w:szCs w:val="28"/>
                <w:lang w:val="en-US"/>
              </w:rPr>
              <w:t>Changes to the exemption for foreign non</w:t>
            </w:r>
            <w:r w:rsidRPr="00A154B0">
              <w:rPr>
                <w:rFonts w:ascii="Arial" w:hAnsi="Monaco" w:cs="Monaco"/>
                <w:color w:val="333333"/>
                <w:szCs w:val="28"/>
                <w:lang w:val="en-US"/>
              </w:rPr>
              <w:t>‑</w:t>
            </w:r>
            <w:r w:rsidRPr="00A154B0">
              <w:rPr>
                <w:rFonts w:ascii="Arial" w:hAnsi="Arial" w:cs="Times"/>
                <w:color w:val="333333"/>
                <w:szCs w:val="28"/>
                <w:lang w:val="en-US"/>
              </w:rPr>
              <w:t>portfolio dividends is</w:t>
            </w:r>
            <w:proofErr w:type="gramEnd"/>
            <w:r w:rsidRPr="00A154B0">
              <w:rPr>
                <w:rFonts w:ascii="Arial" w:hAnsi="Arial" w:cs="Times"/>
                <w:color w:val="333333"/>
                <w:szCs w:val="28"/>
                <w:lang w:val="en-US"/>
              </w:rPr>
              <w:t xml:space="preserve"> to proceed as previously announced.</w:t>
            </w:r>
          </w:p>
          <w:p w:rsidR="00592FA9" w:rsidRPr="00A154B0" w:rsidRDefault="00592FA9">
            <w:pPr>
              <w:widowControl w:val="0"/>
              <w:numPr>
                <w:ilvl w:val="0"/>
                <w:numId w:val="1"/>
              </w:numPr>
              <w:tabs>
                <w:tab w:val="left" w:pos="220"/>
                <w:tab w:val="left" w:pos="720"/>
              </w:tabs>
              <w:autoSpaceDE w:val="0"/>
              <w:autoSpaceDN w:val="0"/>
              <w:adjustRightInd w:val="0"/>
              <w:spacing w:after="0" w:line="320" w:lineRule="atLeast"/>
              <w:ind w:left="720" w:hanging="720"/>
              <w:rPr>
                <w:rFonts w:ascii="Arial" w:hAnsi="Arial" w:cs="Times"/>
                <w:color w:val="333333"/>
                <w:szCs w:val="28"/>
                <w:lang w:val="en-US"/>
              </w:rPr>
            </w:pPr>
            <w:r w:rsidRPr="00A154B0">
              <w:rPr>
                <w:rFonts w:ascii="Arial" w:hAnsi="Arial" w:cs="Times"/>
                <w:color w:val="333333"/>
                <w:szCs w:val="28"/>
                <w:lang w:val="en-US"/>
              </w:rPr>
              <w:t>The abolishment of the section 25</w:t>
            </w:r>
            <w:r w:rsidRPr="00A154B0">
              <w:rPr>
                <w:rFonts w:ascii="Arial" w:hAnsi="Monaco" w:cs="Monaco"/>
                <w:color w:val="333333"/>
                <w:szCs w:val="28"/>
                <w:lang w:val="en-US"/>
              </w:rPr>
              <w:t>‑</w:t>
            </w:r>
            <w:r w:rsidRPr="00A154B0">
              <w:rPr>
                <w:rFonts w:ascii="Arial" w:hAnsi="Arial" w:cs="Times"/>
                <w:color w:val="333333"/>
                <w:szCs w:val="28"/>
                <w:lang w:val="en-US"/>
              </w:rPr>
              <w:t>90 deduction will not proceed. Instead the Government will commence consultations on a targeted integrity rule to address certain conduit arrangements.</w:t>
            </w:r>
          </w:p>
          <w:p w:rsidR="00592FA9" w:rsidRPr="00A154B0" w:rsidRDefault="00592FA9">
            <w:pPr>
              <w:widowControl w:val="0"/>
              <w:autoSpaceDE w:val="0"/>
              <w:autoSpaceDN w:val="0"/>
              <w:adjustRightInd w:val="0"/>
              <w:spacing w:after="260" w:line="320" w:lineRule="atLeast"/>
              <w:rPr>
                <w:rFonts w:ascii="Arial" w:hAnsi="Arial" w:cs="Times"/>
                <w:color w:val="333333"/>
                <w:szCs w:val="28"/>
                <w:lang w:val="en-US"/>
              </w:rPr>
            </w:pPr>
            <w:r w:rsidRPr="00A154B0">
              <w:rPr>
                <w:rFonts w:ascii="Arial" w:hAnsi="Arial" w:cs="Times"/>
                <w:color w:val="333333"/>
                <w:szCs w:val="28"/>
                <w:lang w:val="en-US"/>
              </w:rPr>
              <w:t>Not proceeding with the abolishment of the section 25</w:t>
            </w:r>
            <w:r w:rsidRPr="00A154B0">
              <w:rPr>
                <w:rFonts w:ascii="Arial" w:hAnsi="Monaco" w:cs="Monaco"/>
                <w:color w:val="333333"/>
                <w:szCs w:val="28"/>
                <w:lang w:val="en-US"/>
              </w:rPr>
              <w:t>‑</w:t>
            </w:r>
            <w:r w:rsidRPr="00A154B0">
              <w:rPr>
                <w:rFonts w:ascii="Arial" w:hAnsi="Arial" w:cs="Times"/>
                <w:color w:val="333333"/>
                <w:szCs w:val="28"/>
                <w:lang w:val="en-US"/>
              </w:rPr>
              <w:t>90 deduction will reduce compliance costs and red tape.</w:t>
            </w:r>
          </w:p>
        </w:tc>
        <w:tc>
          <w:tcPr>
            <w:tcW w:w="2835" w:type="dxa"/>
          </w:tcPr>
          <w:p w:rsidR="00592FA9" w:rsidRPr="00A154B0" w:rsidRDefault="00592FA9" w:rsidP="00A8526A">
            <w:pPr>
              <w:widowControl w:val="0"/>
              <w:autoSpaceDE w:val="0"/>
              <w:autoSpaceDN w:val="0"/>
              <w:adjustRightInd w:val="0"/>
              <w:spacing w:after="0" w:line="320" w:lineRule="atLeast"/>
              <w:rPr>
                <w:rFonts w:ascii="Arial" w:hAnsi="Arial" w:cs="Times"/>
                <w:color w:val="333333"/>
                <w:szCs w:val="28"/>
                <w:lang w:val="en-US"/>
              </w:rPr>
            </w:pPr>
          </w:p>
        </w:tc>
        <w:tc>
          <w:tcPr>
            <w:tcW w:w="2268" w:type="dxa"/>
          </w:tcPr>
          <w:p w:rsidR="00592FA9" w:rsidRPr="00A154B0" w:rsidRDefault="00592FA9" w:rsidP="00A8526A">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color w:val="333333"/>
                <w:szCs w:val="28"/>
                <w:lang w:val="en-US"/>
              </w:rPr>
              <w:t>1-Jul-03</w:t>
            </w:r>
          </w:p>
        </w:tc>
      </w:tr>
      <w:tr w:rsidR="00592FA9" w:rsidRPr="00A154B0">
        <w:tc>
          <w:tcPr>
            <w:tcW w:w="959" w:type="dxa"/>
            <w:tcMar>
              <w:top w:w="140" w:type="nil"/>
              <w:left w:w="100" w:type="nil"/>
              <w:bottom w:w="100" w:type="nil"/>
              <w:right w:w="140" w:type="nil"/>
            </w:tcMar>
          </w:tcPr>
          <w:p w:rsidR="00592FA9" w:rsidRPr="00A154B0" w:rsidRDefault="002D4FD0">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color w:val="333333"/>
                <w:szCs w:val="28"/>
                <w:lang w:val="en-US"/>
              </w:rPr>
              <w:t>36</w:t>
            </w:r>
          </w:p>
        </w:tc>
        <w:tc>
          <w:tcPr>
            <w:tcW w:w="7654" w:type="dxa"/>
            <w:tcMar>
              <w:top w:w="140" w:type="nil"/>
              <w:left w:w="100" w:type="nil"/>
              <w:bottom w:w="100" w:type="nil"/>
              <w:right w:w="140" w:type="nil"/>
            </w:tcMar>
          </w:tcPr>
          <w:p w:rsidR="00592FA9" w:rsidRPr="00A154B0" w:rsidRDefault="00592FA9">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b/>
                <w:bCs/>
                <w:color w:val="333333"/>
                <w:szCs w:val="28"/>
                <w:lang w:val="en-US"/>
              </w:rPr>
              <w:t xml:space="preserve">Protecting the corporate tax base from erosion and loopholes — closing loopholes in the Offshore Banking Unit regime – proceed with amendments. </w:t>
            </w:r>
            <w:r w:rsidRPr="00A154B0">
              <w:rPr>
                <w:rFonts w:ascii="Arial" w:hAnsi="Arial" w:cs="Times"/>
                <w:color w:val="333333"/>
                <w:szCs w:val="28"/>
                <w:lang w:val="en-US"/>
              </w:rPr>
              <w:t>Addresses integrity issues associated with related party dealings and better targets the regime to genuine mobile financial sector activities. The Government will not proceed with the measure to exclude all related party dealings but instead will develop targeted rules to address integrity concerns.</w:t>
            </w:r>
          </w:p>
        </w:tc>
        <w:tc>
          <w:tcPr>
            <w:tcW w:w="2835" w:type="dxa"/>
          </w:tcPr>
          <w:p w:rsidR="00592FA9" w:rsidRPr="00A154B0" w:rsidRDefault="00592FA9">
            <w:pPr>
              <w:widowControl w:val="0"/>
              <w:autoSpaceDE w:val="0"/>
              <w:autoSpaceDN w:val="0"/>
              <w:adjustRightInd w:val="0"/>
              <w:spacing w:after="0" w:line="320" w:lineRule="atLeast"/>
              <w:rPr>
                <w:rFonts w:ascii="Arial" w:hAnsi="Arial" w:cs="Times"/>
                <w:b/>
                <w:bCs/>
                <w:color w:val="333333"/>
                <w:szCs w:val="28"/>
                <w:lang w:val="en-US"/>
              </w:rPr>
            </w:pPr>
          </w:p>
        </w:tc>
        <w:tc>
          <w:tcPr>
            <w:tcW w:w="2268" w:type="dxa"/>
          </w:tcPr>
          <w:p w:rsidR="00592FA9" w:rsidRPr="00A154B0" w:rsidRDefault="00592FA9">
            <w:pPr>
              <w:widowControl w:val="0"/>
              <w:autoSpaceDE w:val="0"/>
              <w:autoSpaceDN w:val="0"/>
              <w:adjustRightInd w:val="0"/>
              <w:spacing w:after="0" w:line="320" w:lineRule="atLeast"/>
              <w:rPr>
                <w:rFonts w:ascii="Arial" w:hAnsi="Arial" w:cs="Times"/>
                <w:b/>
                <w:bCs/>
                <w:color w:val="333333"/>
                <w:szCs w:val="28"/>
                <w:lang w:val="en-US"/>
              </w:rPr>
            </w:pPr>
          </w:p>
        </w:tc>
      </w:tr>
      <w:tr w:rsidR="00592FA9" w:rsidRPr="00A154B0">
        <w:tc>
          <w:tcPr>
            <w:tcW w:w="959" w:type="dxa"/>
            <w:tcMar>
              <w:top w:w="140" w:type="nil"/>
              <w:left w:w="100" w:type="nil"/>
              <w:bottom w:w="100" w:type="nil"/>
              <w:right w:w="140" w:type="nil"/>
            </w:tcMar>
          </w:tcPr>
          <w:p w:rsidR="00592FA9" w:rsidRPr="00A154B0" w:rsidRDefault="002D4FD0">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color w:val="333333"/>
                <w:szCs w:val="28"/>
                <w:lang w:val="en-US"/>
              </w:rPr>
              <w:t>37</w:t>
            </w:r>
          </w:p>
        </w:tc>
        <w:tc>
          <w:tcPr>
            <w:tcW w:w="7654" w:type="dxa"/>
            <w:tcMar>
              <w:top w:w="140" w:type="nil"/>
              <w:left w:w="100" w:type="nil"/>
              <w:bottom w:w="100" w:type="nil"/>
              <w:right w:w="140" w:type="nil"/>
            </w:tcMar>
          </w:tcPr>
          <w:p w:rsidR="00592FA9" w:rsidRPr="00A154B0" w:rsidRDefault="00592FA9">
            <w:pPr>
              <w:widowControl w:val="0"/>
              <w:autoSpaceDE w:val="0"/>
              <w:autoSpaceDN w:val="0"/>
              <w:adjustRightInd w:val="0"/>
              <w:spacing w:after="0" w:line="320" w:lineRule="atLeast"/>
              <w:rPr>
                <w:rFonts w:ascii="Arial" w:hAnsi="Arial" w:cs="Times"/>
                <w:color w:val="333333"/>
                <w:szCs w:val="28"/>
                <w:lang w:val="en-US"/>
              </w:rPr>
            </w:pPr>
            <w:r w:rsidRPr="00A154B0">
              <w:rPr>
                <w:rFonts w:ascii="Arial" w:hAnsi="Arial" w:cs="Times"/>
                <w:b/>
                <w:bCs/>
                <w:color w:val="333333"/>
                <w:szCs w:val="28"/>
                <w:lang w:val="en-US"/>
              </w:rPr>
              <w:t xml:space="preserve">Proceed with previously announced measure to restrict GST refunds — proceed with amendments. </w:t>
            </w:r>
            <w:r w:rsidRPr="00A154B0">
              <w:rPr>
                <w:rFonts w:ascii="Arial" w:hAnsi="Arial" w:cs="Times"/>
                <w:color w:val="333333"/>
                <w:szCs w:val="28"/>
                <w:lang w:val="en-US"/>
              </w:rPr>
              <w:t>Restricts refunds of overpaid GST. Amendments will address a recent AAT finding it doesn't have jurisdiction to consider refund matters.</w:t>
            </w:r>
          </w:p>
        </w:tc>
        <w:tc>
          <w:tcPr>
            <w:tcW w:w="2835" w:type="dxa"/>
          </w:tcPr>
          <w:p w:rsidR="00592FA9" w:rsidRPr="00A154B0" w:rsidRDefault="00592FA9">
            <w:pPr>
              <w:widowControl w:val="0"/>
              <w:autoSpaceDE w:val="0"/>
              <w:autoSpaceDN w:val="0"/>
              <w:adjustRightInd w:val="0"/>
              <w:spacing w:after="0" w:line="320" w:lineRule="atLeast"/>
              <w:rPr>
                <w:rFonts w:ascii="Arial" w:hAnsi="Arial" w:cs="Times"/>
                <w:b/>
                <w:bCs/>
                <w:color w:val="333333"/>
                <w:szCs w:val="28"/>
                <w:lang w:val="en-US"/>
              </w:rPr>
            </w:pPr>
            <w:r w:rsidRPr="00A154B0">
              <w:rPr>
                <w:rFonts w:ascii="Arial" w:hAnsi="Arial" w:cs="Times"/>
                <w:color w:val="333333"/>
                <w:szCs w:val="28"/>
                <w:lang w:val="en-US"/>
              </w:rPr>
              <w:t xml:space="preserve">Tax and </w:t>
            </w:r>
            <w:proofErr w:type="gramStart"/>
            <w:r w:rsidRPr="00A154B0">
              <w:rPr>
                <w:rFonts w:ascii="Arial" w:hAnsi="Arial" w:cs="Times"/>
                <w:color w:val="333333"/>
                <w:szCs w:val="28"/>
                <w:lang w:val="en-US"/>
              </w:rPr>
              <w:t>Superannuation  Laws</w:t>
            </w:r>
            <w:proofErr w:type="gramEnd"/>
            <w:r w:rsidRPr="00A154B0">
              <w:rPr>
                <w:rFonts w:ascii="Arial" w:hAnsi="Arial" w:cs="Times"/>
                <w:color w:val="333333"/>
                <w:szCs w:val="28"/>
                <w:lang w:val="en-US"/>
              </w:rPr>
              <w:t xml:space="preserve"> Amendment (2014 Measures No 1) Bill 2014</w:t>
            </w:r>
          </w:p>
        </w:tc>
        <w:tc>
          <w:tcPr>
            <w:tcW w:w="2268" w:type="dxa"/>
          </w:tcPr>
          <w:p w:rsidR="00592FA9" w:rsidRPr="00A154B0" w:rsidRDefault="00592FA9">
            <w:pPr>
              <w:widowControl w:val="0"/>
              <w:autoSpaceDE w:val="0"/>
              <w:autoSpaceDN w:val="0"/>
              <w:adjustRightInd w:val="0"/>
              <w:spacing w:after="0" w:line="320" w:lineRule="atLeast"/>
              <w:rPr>
                <w:rFonts w:ascii="Arial" w:hAnsi="Arial" w:cs="Times"/>
                <w:b/>
                <w:bCs/>
                <w:color w:val="333333"/>
                <w:szCs w:val="28"/>
                <w:lang w:val="en-US"/>
              </w:rPr>
            </w:pPr>
            <w:r w:rsidRPr="00A154B0">
              <w:rPr>
                <w:rFonts w:ascii="Arial" w:hAnsi="Arial" w:cs="Times"/>
                <w:b/>
                <w:bCs/>
                <w:color w:val="333333"/>
                <w:szCs w:val="28"/>
                <w:lang w:val="en-US"/>
              </w:rPr>
              <w:t>Intro into HOR</w:t>
            </w:r>
          </w:p>
        </w:tc>
      </w:tr>
    </w:tbl>
    <w:p w:rsidR="00A8526A" w:rsidRPr="00A154B0" w:rsidRDefault="00A8526A" w:rsidP="00A8526A">
      <w:pPr>
        <w:rPr>
          <w:rFonts w:ascii="Arial" w:hAnsi="Arial"/>
        </w:rPr>
      </w:pPr>
    </w:p>
    <w:sectPr w:rsidR="00A8526A" w:rsidRPr="00A154B0" w:rsidSect="00A8526A">
      <w:headerReference w:type="default" r:id="rId6"/>
      <w:footerReference w:type="default" r:id="rId7"/>
      <w:pgSz w:w="16834" w:h="11904" w:orient="landscape"/>
      <w:pgMar w:top="1673" w:right="1701" w:bottom="1673" w:left="1701" w:header="958" w:footer="737" w:gutter="0"/>
      <w:cols w:space="708"/>
      <w:printerSettings r:id="rId8"/>
    </w:sectPr>
  </w:body>
</w:document>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Lucida Grande">
    <w:charset w:val="00"/>
    <w:family w:val="auto"/>
    <w:pitch w:val="variable"/>
    <w:sig w:usb0="00000003" w:usb1="00000000" w:usb2="00000000" w:usb3="00000000" w:csb0="00000001" w:csb1="00000000"/>
  </w:font>
  <w:font w:name="Times">
    <w:panose1 w:val="02000500000000000000"/>
    <w:charset w:val="4D"/>
    <w:family w:val="roman"/>
    <w:notTrueType/>
    <w:pitch w:val="variable"/>
    <w:sig w:usb0="00000003" w:usb1="00000000" w:usb2="00000000" w:usb3="00000000" w:csb0="00000001" w:csb1="00000000"/>
  </w:font>
  <w:font w:name="Monaco">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2FA9" w:rsidRPr="00FF0674" w:rsidRDefault="00592FA9" w:rsidP="00FF0674">
    <w:pPr>
      <w:pStyle w:val="Footer"/>
      <w:tabs>
        <w:tab w:val="clear" w:pos="4320"/>
        <w:tab w:val="clear" w:pos="8640"/>
        <w:tab w:val="left" w:pos="1680"/>
      </w:tabs>
      <w:jc w:val="center"/>
      <w:rPr>
        <w:rFonts w:ascii="Arial" w:hAnsi="Arial"/>
        <w:i/>
      </w:rPr>
    </w:pPr>
    <w:r w:rsidRPr="00FF0674">
      <w:rPr>
        <w:rFonts w:ascii="Arial" w:hAnsi="Arial"/>
        <w:i/>
      </w:rPr>
      <w:t xml:space="preserve">Page </w:t>
    </w:r>
    <w:r w:rsidRPr="00FF0674">
      <w:rPr>
        <w:rStyle w:val="PageNumber"/>
        <w:rFonts w:ascii="Arial" w:hAnsi="Arial"/>
        <w:i/>
      </w:rPr>
      <w:fldChar w:fldCharType="begin"/>
    </w:r>
    <w:r w:rsidRPr="00FF0674">
      <w:rPr>
        <w:rStyle w:val="PageNumber"/>
        <w:rFonts w:ascii="Arial" w:hAnsi="Arial"/>
        <w:i/>
      </w:rPr>
      <w:instrText xml:space="preserve"> PAGE </w:instrText>
    </w:r>
    <w:r w:rsidRPr="00FF0674">
      <w:rPr>
        <w:rStyle w:val="PageNumber"/>
        <w:rFonts w:ascii="Arial" w:hAnsi="Arial"/>
        <w:i/>
      </w:rPr>
      <w:fldChar w:fldCharType="separate"/>
    </w:r>
    <w:r w:rsidR="00A154B0">
      <w:rPr>
        <w:rStyle w:val="PageNumber"/>
        <w:rFonts w:ascii="Arial" w:hAnsi="Arial"/>
        <w:i/>
        <w:noProof/>
      </w:rPr>
      <w:t>7</w:t>
    </w:r>
    <w:r w:rsidRPr="00FF0674">
      <w:rPr>
        <w:rStyle w:val="PageNumber"/>
        <w:rFonts w:ascii="Arial" w:hAnsi="Arial"/>
        <w:i/>
      </w:rPr>
      <w:fldChar w:fldCharType="end"/>
    </w:r>
    <w:r w:rsidRPr="00FF0674">
      <w:rPr>
        <w:rStyle w:val="PageNumber"/>
        <w:rFonts w:ascii="Arial" w:hAnsi="Arial"/>
        <w:i/>
      </w:rPr>
      <w:t xml:space="preserve"> of </w:t>
    </w:r>
    <w:r w:rsidRPr="00FF0674">
      <w:rPr>
        <w:rStyle w:val="PageNumber"/>
        <w:rFonts w:ascii="Arial" w:hAnsi="Arial"/>
        <w:i/>
      </w:rPr>
      <w:fldChar w:fldCharType="begin"/>
    </w:r>
    <w:r w:rsidRPr="00FF0674">
      <w:rPr>
        <w:rStyle w:val="PageNumber"/>
        <w:rFonts w:ascii="Arial" w:hAnsi="Arial"/>
        <w:i/>
      </w:rPr>
      <w:instrText xml:space="preserve"> NUMPAGES </w:instrText>
    </w:r>
    <w:r w:rsidRPr="00FF0674">
      <w:rPr>
        <w:rStyle w:val="PageNumber"/>
        <w:rFonts w:ascii="Arial" w:hAnsi="Arial"/>
        <w:i/>
      </w:rPr>
      <w:fldChar w:fldCharType="separate"/>
    </w:r>
    <w:r w:rsidR="00A154B0">
      <w:rPr>
        <w:rStyle w:val="PageNumber"/>
        <w:rFonts w:ascii="Arial" w:hAnsi="Arial"/>
        <w:i/>
        <w:noProof/>
      </w:rPr>
      <w:t>8</w:t>
    </w:r>
    <w:r w:rsidRPr="00FF0674">
      <w:rPr>
        <w:rStyle w:val="PageNumber"/>
        <w:rFonts w:ascii="Arial" w:hAnsi="Arial"/>
        <w:i/>
      </w:rPr>
      <w:fldChar w:fldCharType="end"/>
    </w:r>
  </w:p>
</w:ftr>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2FA9" w:rsidRPr="00FF0674" w:rsidRDefault="00A154B0">
    <w:pPr>
      <w:pStyle w:val="Header"/>
      <w:rPr>
        <w:rFonts w:ascii="Arial" w:hAnsi="Arial"/>
        <w:i/>
        <w:u w:val="single"/>
      </w:rPr>
    </w:pPr>
    <w:r>
      <w:rPr>
        <w:rFonts w:ascii="Arial" w:hAnsi="Arial"/>
        <w:i/>
        <w:u w:val="single"/>
      </w:rPr>
      <w:t>Tax announcements</w:t>
    </w:r>
    <w:r w:rsidR="00592FA9" w:rsidRPr="00FF0674">
      <w:rPr>
        <w:rFonts w:ascii="Arial" w:hAnsi="Arial"/>
        <w:i/>
        <w:u w:val="single"/>
      </w:rPr>
      <w:tab/>
    </w:r>
    <w:r>
      <w:rPr>
        <w:rFonts w:ascii="Arial" w:hAnsi="Arial"/>
        <w:i/>
        <w:u w:val="single"/>
      </w:rPr>
      <w:t>March</w:t>
    </w:r>
    <w:r w:rsidR="00592FA9" w:rsidRPr="00FF0674">
      <w:rPr>
        <w:rFonts w:ascii="Arial" w:hAnsi="Arial"/>
        <w:i/>
        <w:u w:val="single"/>
      </w:rPr>
      <w:t xml:space="preserve"> 2014</w:t>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tplc="00000000">
      <w:start w:val="1"/>
      <w:numFmt w:val="bullet"/>
      <w:lvlText w:val="%6."/>
      <w:lvlJc w:val="righ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58E4E79"/>
    <w:multiLevelType w:val="hybridMultilevel"/>
    <w:tmpl w:val="80E09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67F64DE"/>
    <w:multiLevelType w:val="hybridMultilevel"/>
    <w:tmpl w:val="BD4478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FE03FB6"/>
    <w:multiLevelType w:val="hybridMultilevel"/>
    <w:tmpl w:val="EA36B4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0582F6E"/>
    <w:multiLevelType w:val="hybridMultilevel"/>
    <w:tmpl w:val="77683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8E70D7F"/>
    <w:multiLevelType w:val="hybridMultilevel"/>
    <w:tmpl w:val="D466E6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AB7133A"/>
    <w:multiLevelType w:val="hybridMultilevel"/>
    <w:tmpl w:val="B9AC9C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CB745D7"/>
    <w:multiLevelType w:val="hybridMultilevel"/>
    <w:tmpl w:val="53F691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FCE5E12"/>
    <w:multiLevelType w:val="multilevel"/>
    <w:tmpl w:val="6C00AF12"/>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nsid w:val="290320BC"/>
    <w:multiLevelType w:val="hybridMultilevel"/>
    <w:tmpl w:val="2778AD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2DC5F9E"/>
    <w:multiLevelType w:val="hybridMultilevel"/>
    <w:tmpl w:val="58727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6F9793E"/>
    <w:multiLevelType w:val="hybridMultilevel"/>
    <w:tmpl w:val="3ED02D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87D3883"/>
    <w:multiLevelType w:val="hybridMultilevel"/>
    <w:tmpl w:val="7CF8B6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A8309E7"/>
    <w:multiLevelType w:val="hybridMultilevel"/>
    <w:tmpl w:val="53F691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9CB6522"/>
    <w:multiLevelType w:val="hybridMultilevel"/>
    <w:tmpl w:val="20DA9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79FF7149"/>
    <w:multiLevelType w:val="multilevel"/>
    <w:tmpl w:val="B058D472"/>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6">
    <w:nsid w:val="7BEA0743"/>
    <w:multiLevelType w:val="hybridMultilevel"/>
    <w:tmpl w:val="A7447E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0"/>
  </w:num>
  <w:num w:numId="3">
    <w:abstractNumId w:val="8"/>
  </w:num>
  <w:num w:numId="4">
    <w:abstractNumId w:val="6"/>
  </w:num>
  <w:num w:numId="5">
    <w:abstractNumId w:val="3"/>
  </w:num>
  <w:num w:numId="6">
    <w:abstractNumId w:val="14"/>
  </w:num>
  <w:num w:numId="7">
    <w:abstractNumId w:val="16"/>
  </w:num>
  <w:num w:numId="8">
    <w:abstractNumId w:val="9"/>
  </w:num>
  <w:num w:numId="9">
    <w:abstractNumId w:val="13"/>
  </w:num>
  <w:num w:numId="10">
    <w:abstractNumId w:val="7"/>
  </w:num>
  <w:num w:numId="11">
    <w:abstractNumId w:val="15"/>
  </w:num>
  <w:num w:numId="12">
    <w:abstractNumId w:val="2"/>
  </w:num>
  <w:num w:numId="13">
    <w:abstractNumId w:val="1"/>
  </w:num>
  <w:num w:numId="14">
    <w:abstractNumId w:val="12"/>
  </w:num>
  <w:num w:numId="15">
    <w:abstractNumId w:val="5"/>
  </w:num>
  <w:num w:numId="16">
    <w:abstractNumId w:val="4"/>
  </w:num>
  <w:num w:numId="17">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22"/>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A8526A"/>
    <w:rsid w:val="000358A7"/>
    <w:rsid w:val="00063F25"/>
    <w:rsid w:val="000757C6"/>
    <w:rsid w:val="00077DBB"/>
    <w:rsid w:val="00077F14"/>
    <w:rsid w:val="000825C3"/>
    <w:rsid w:val="000E33C0"/>
    <w:rsid w:val="0011650C"/>
    <w:rsid w:val="00190671"/>
    <w:rsid w:val="00191DB5"/>
    <w:rsid w:val="001D5B42"/>
    <w:rsid w:val="00202313"/>
    <w:rsid w:val="00211390"/>
    <w:rsid w:val="00254112"/>
    <w:rsid w:val="00273341"/>
    <w:rsid w:val="00273910"/>
    <w:rsid w:val="00283A7F"/>
    <w:rsid w:val="002B49D9"/>
    <w:rsid w:val="002D4FD0"/>
    <w:rsid w:val="002F5DAB"/>
    <w:rsid w:val="00362B78"/>
    <w:rsid w:val="0036566E"/>
    <w:rsid w:val="003D20AF"/>
    <w:rsid w:val="003E5DD3"/>
    <w:rsid w:val="003E6250"/>
    <w:rsid w:val="003F3234"/>
    <w:rsid w:val="0042124D"/>
    <w:rsid w:val="004265E6"/>
    <w:rsid w:val="00453FF4"/>
    <w:rsid w:val="00487622"/>
    <w:rsid w:val="0049341D"/>
    <w:rsid w:val="004D00E4"/>
    <w:rsid w:val="004F3A9D"/>
    <w:rsid w:val="00512A20"/>
    <w:rsid w:val="00543626"/>
    <w:rsid w:val="005644BA"/>
    <w:rsid w:val="00592FA9"/>
    <w:rsid w:val="005A351D"/>
    <w:rsid w:val="005D5A56"/>
    <w:rsid w:val="005E0031"/>
    <w:rsid w:val="005F29FA"/>
    <w:rsid w:val="00611CEF"/>
    <w:rsid w:val="00630484"/>
    <w:rsid w:val="00683F57"/>
    <w:rsid w:val="006A05DF"/>
    <w:rsid w:val="006C0900"/>
    <w:rsid w:val="007372A3"/>
    <w:rsid w:val="00740F08"/>
    <w:rsid w:val="007916E4"/>
    <w:rsid w:val="007E1CD5"/>
    <w:rsid w:val="007E1FF8"/>
    <w:rsid w:val="008C5DBC"/>
    <w:rsid w:val="008E234E"/>
    <w:rsid w:val="00905E8D"/>
    <w:rsid w:val="0093605E"/>
    <w:rsid w:val="00A12DDD"/>
    <w:rsid w:val="00A154B0"/>
    <w:rsid w:val="00A6356F"/>
    <w:rsid w:val="00A8526A"/>
    <w:rsid w:val="00AD0E83"/>
    <w:rsid w:val="00AF5A40"/>
    <w:rsid w:val="00B21614"/>
    <w:rsid w:val="00B57F30"/>
    <w:rsid w:val="00C0750A"/>
    <w:rsid w:val="00C204B0"/>
    <w:rsid w:val="00C342AB"/>
    <w:rsid w:val="00C55B70"/>
    <w:rsid w:val="00C57D6B"/>
    <w:rsid w:val="00C753B6"/>
    <w:rsid w:val="00CB4657"/>
    <w:rsid w:val="00D02033"/>
    <w:rsid w:val="00D179EF"/>
    <w:rsid w:val="00D26BA3"/>
    <w:rsid w:val="00D37905"/>
    <w:rsid w:val="00D42BC7"/>
    <w:rsid w:val="00D911B5"/>
    <w:rsid w:val="00DA3580"/>
    <w:rsid w:val="00DF2E0F"/>
    <w:rsid w:val="00E83285"/>
    <w:rsid w:val="00E97B8B"/>
    <w:rsid w:val="00ED394E"/>
    <w:rsid w:val="00F13200"/>
    <w:rsid w:val="00F46996"/>
    <w:rsid w:val="00F53AD2"/>
    <w:rsid w:val="00F66E05"/>
    <w:rsid w:val="00F773BB"/>
    <w:rsid w:val="00F85EAC"/>
    <w:rsid w:val="00FF0674"/>
  </w:rsids>
  <m:mathPr>
    <m:mathFont m:val="Monaco"/>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276">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atentStyles>
  <w:style w:type="paragraph" w:default="1" w:styleId="Normal">
    <w:name w:val="Normal"/>
    <w:qFormat/>
    <w:rsid w:val="00B81524"/>
    <w:rPr>
      <w:lang w:val="en-AU"/>
    </w:rPr>
  </w:style>
  <w:style w:type="paragraph" w:styleId="Heading1">
    <w:name w:val="heading 1"/>
    <w:basedOn w:val="Normal"/>
    <w:next w:val="Normal"/>
    <w:link w:val="Heading1Char"/>
    <w:rsid w:val="00DA3580"/>
    <w:pPr>
      <w:keepNext/>
      <w:keepLines/>
      <w:spacing w:before="480" w:after="0" w:line="480" w:lineRule="auto"/>
      <w:outlineLvl w:val="0"/>
    </w:pPr>
    <w:rPr>
      <w:rFonts w:ascii="Arial" w:eastAsiaTheme="majorEastAsia" w:hAnsi="Arial" w:cstheme="majorBidi"/>
      <w:b/>
      <w:bCs/>
      <w:sz w:val="28"/>
      <w:szCs w:val="32"/>
    </w:rPr>
  </w:style>
  <w:style w:type="paragraph" w:styleId="Heading2">
    <w:name w:val="heading 2"/>
    <w:basedOn w:val="Normal"/>
    <w:next w:val="Normal"/>
    <w:link w:val="Heading2Char"/>
    <w:rsid w:val="00DA3580"/>
    <w:pPr>
      <w:keepNext/>
      <w:keepLines/>
      <w:spacing w:before="200" w:after="0" w:line="480" w:lineRule="auto"/>
      <w:outlineLvl w:val="1"/>
    </w:pPr>
    <w:rPr>
      <w:rFonts w:ascii="Arial" w:eastAsiaTheme="majorEastAsia" w:hAnsi="Arial" w:cstheme="majorBidi"/>
      <w:b/>
      <w:bCs/>
      <w:i/>
      <w:sz w:val="26"/>
      <w:szCs w:val="26"/>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styleId="Hyperlink">
    <w:name w:val="Hyperlink"/>
    <w:basedOn w:val="DefaultParagraphFont"/>
    <w:uiPriority w:val="99"/>
    <w:semiHidden/>
    <w:unhideWhenUsed/>
    <w:rsid w:val="00A8526A"/>
    <w:rPr>
      <w:color w:val="0000FF" w:themeColor="hyperlink"/>
      <w:u w:val="single"/>
    </w:rPr>
  </w:style>
  <w:style w:type="paragraph" w:styleId="ListParagraph">
    <w:name w:val="List Paragraph"/>
    <w:basedOn w:val="Normal"/>
    <w:uiPriority w:val="34"/>
    <w:qFormat/>
    <w:rsid w:val="00D42BC7"/>
    <w:pPr>
      <w:ind w:left="720"/>
      <w:contextualSpacing/>
    </w:pPr>
  </w:style>
  <w:style w:type="paragraph" w:styleId="Header">
    <w:name w:val="header"/>
    <w:basedOn w:val="Normal"/>
    <w:link w:val="HeaderChar"/>
    <w:rsid w:val="00FF0674"/>
    <w:pPr>
      <w:tabs>
        <w:tab w:val="center" w:pos="4320"/>
        <w:tab w:val="right" w:pos="8640"/>
      </w:tabs>
      <w:spacing w:after="0"/>
    </w:pPr>
  </w:style>
  <w:style w:type="character" w:customStyle="1" w:styleId="HeaderChar">
    <w:name w:val="Header Char"/>
    <w:basedOn w:val="DefaultParagraphFont"/>
    <w:link w:val="Header"/>
    <w:rsid w:val="00FF0674"/>
    <w:rPr>
      <w:lang w:val="en-AU"/>
    </w:rPr>
  </w:style>
  <w:style w:type="paragraph" w:styleId="Footer">
    <w:name w:val="footer"/>
    <w:basedOn w:val="Normal"/>
    <w:link w:val="FooterChar"/>
    <w:rsid w:val="00FF0674"/>
    <w:pPr>
      <w:tabs>
        <w:tab w:val="center" w:pos="4320"/>
        <w:tab w:val="right" w:pos="8640"/>
      </w:tabs>
      <w:spacing w:after="0"/>
    </w:pPr>
  </w:style>
  <w:style w:type="character" w:customStyle="1" w:styleId="FooterChar">
    <w:name w:val="Footer Char"/>
    <w:basedOn w:val="DefaultParagraphFont"/>
    <w:link w:val="Footer"/>
    <w:rsid w:val="00FF0674"/>
    <w:rPr>
      <w:lang w:val="en-AU"/>
    </w:rPr>
  </w:style>
  <w:style w:type="character" w:styleId="PageNumber">
    <w:name w:val="page number"/>
    <w:basedOn w:val="DefaultParagraphFont"/>
    <w:rsid w:val="00FF0674"/>
  </w:style>
  <w:style w:type="character" w:customStyle="1" w:styleId="Heading1Char">
    <w:name w:val="Heading 1 Char"/>
    <w:basedOn w:val="DefaultParagraphFont"/>
    <w:link w:val="Heading1"/>
    <w:rsid w:val="00DA3580"/>
    <w:rPr>
      <w:rFonts w:ascii="Arial" w:eastAsiaTheme="majorEastAsia" w:hAnsi="Arial" w:cstheme="majorBidi"/>
      <w:b/>
      <w:bCs/>
      <w:sz w:val="28"/>
      <w:szCs w:val="32"/>
      <w:lang w:val="en-AU"/>
    </w:rPr>
  </w:style>
  <w:style w:type="character" w:customStyle="1" w:styleId="Heading2Char">
    <w:name w:val="Heading 2 Char"/>
    <w:basedOn w:val="DefaultParagraphFont"/>
    <w:link w:val="Heading2"/>
    <w:rsid w:val="00DA3580"/>
    <w:rPr>
      <w:rFonts w:ascii="Arial" w:eastAsiaTheme="majorEastAsia" w:hAnsi="Arial" w:cstheme="majorBidi"/>
      <w:b/>
      <w:bCs/>
      <w:i/>
      <w:sz w:val="26"/>
      <w:szCs w:val="26"/>
      <w:lang w:val="en-AU"/>
    </w:rPr>
  </w:style>
  <w:style w:type="paragraph" w:styleId="TOC2">
    <w:name w:val="toc 2"/>
    <w:basedOn w:val="Normal"/>
    <w:next w:val="Normal"/>
    <w:autoRedefine/>
    <w:uiPriority w:val="39"/>
    <w:rsid w:val="00DA3580"/>
    <w:pPr>
      <w:ind w:left="240"/>
    </w:pPr>
  </w:style>
  <w:style w:type="paragraph" w:styleId="TOC1">
    <w:name w:val="toc 1"/>
    <w:basedOn w:val="Normal"/>
    <w:next w:val="Normal"/>
    <w:autoRedefine/>
    <w:uiPriority w:val="39"/>
    <w:rsid w:val="00DA3580"/>
    <w:pPr>
      <w:spacing w:after="100"/>
    </w:pPr>
  </w:style>
  <w:style w:type="paragraph" w:styleId="TOC3">
    <w:name w:val="toc 3"/>
    <w:basedOn w:val="Normal"/>
    <w:next w:val="Normal"/>
    <w:autoRedefine/>
    <w:uiPriority w:val="39"/>
    <w:rsid w:val="00DA3580"/>
    <w:pPr>
      <w:ind w:left="480"/>
    </w:pPr>
  </w:style>
  <w:style w:type="paragraph" w:styleId="TOC4">
    <w:name w:val="toc 4"/>
    <w:basedOn w:val="Normal"/>
    <w:next w:val="Normal"/>
    <w:autoRedefine/>
    <w:uiPriority w:val="39"/>
    <w:rsid w:val="00DA3580"/>
    <w:pPr>
      <w:ind w:left="720"/>
    </w:pPr>
  </w:style>
  <w:style w:type="paragraph" w:styleId="TOC5">
    <w:name w:val="toc 5"/>
    <w:basedOn w:val="Normal"/>
    <w:next w:val="Normal"/>
    <w:autoRedefine/>
    <w:uiPriority w:val="39"/>
    <w:rsid w:val="00DA3580"/>
    <w:pPr>
      <w:ind w:left="960"/>
    </w:pPr>
  </w:style>
  <w:style w:type="paragraph" w:styleId="TOC6">
    <w:name w:val="toc 6"/>
    <w:basedOn w:val="Normal"/>
    <w:next w:val="Normal"/>
    <w:autoRedefine/>
    <w:uiPriority w:val="39"/>
    <w:rsid w:val="00DA3580"/>
    <w:pPr>
      <w:ind w:left="1200"/>
    </w:pPr>
  </w:style>
  <w:style w:type="paragraph" w:styleId="TOC7">
    <w:name w:val="toc 7"/>
    <w:basedOn w:val="Normal"/>
    <w:next w:val="Normal"/>
    <w:autoRedefine/>
    <w:uiPriority w:val="39"/>
    <w:rsid w:val="00DA3580"/>
    <w:pPr>
      <w:ind w:left="1440"/>
    </w:pPr>
  </w:style>
  <w:style w:type="paragraph" w:styleId="TOC8">
    <w:name w:val="toc 8"/>
    <w:basedOn w:val="Normal"/>
    <w:next w:val="Normal"/>
    <w:autoRedefine/>
    <w:uiPriority w:val="39"/>
    <w:rsid w:val="00DA3580"/>
    <w:pPr>
      <w:ind w:left="1680"/>
    </w:pPr>
  </w:style>
  <w:style w:type="paragraph" w:styleId="TOC9">
    <w:name w:val="toc 9"/>
    <w:basedOn w:val="Normal"/>
    <w:next w:val="Normal"/>
    <w:autoRedefine/>
    <w:uiPriority w:val="39"/>
    <w:rsid w:val="00DA3580"/>
    <w:pPr>
      <w:ind w:left="1920"/>
    </w:pPr>
  </w:style>
  <w:style w:type="paragraph" w:styleId="FootnoteText">
    <w:name w:val="footnote text"/>
    <w:basedOn w:val="Normal"/>
    <w:link w:val="FootnoteTextChar"/>
    <w:rsid w:val="00E97B8B"/>
    <w:pPr>
      <w:spacing w:after="0"/>
    </w:pPr>
  </w:style>
  <w:style w:type="character" w:customStyle="1" w:styleId="FootnoteTextChar">
    <w:name w:val="Footnote Text Char"/>
    <w:basedOn w:val="DefaultParagraphFont"/>
    <w:link w:val="FootnoteText"/>
    <w:rsid w:val="00E97B8B"/>
    <w:rPr>
      <w:lang w:val="en-AU"/>
    </w:rPr>
  </w:style>
  <w:style w:type="character" w:styleId="FootnoteReference">
    <w:name w:val="footnote reference"/>
    <w:basedOn w:val="DefaultParagraphFont"/>
    <w:rsid w:val="00E97B8B"/>
    <w:rPr>
      <w:vertAlign w:val="superscript"/>
    </w:rPr>
  </w:style>
  <w:style w:type="paragraph" w:styleId="BalloonText">
    <w:name w:val="Balloon Text"/>
    <w:basedOn w:val="Normal"/>
    <w:link w:val="BalloonTextChar"/>
    <w:rsid w:val="00B21614"/>
    <w:pPr>
      <w:spacing w:after="0"/>
    </w:pPr>
    <w:rPr>
      <w:rFonts w:ascii="Lucida Grande" w:hAnsi="Lucida Grande"/>
      <w:sz w:val="18"/>
      <w:szCs w:val="18"/>
    </w:rPr>
  </w:style>
  <w:style w:type="character" w:customStyle="1" w:styleId="BalloonTextChar">
    <w:name w:val="Balloon Text Char"/>
    <w:basedOn w:val="DefaultParagraphFont"/>
    <w:link w:val="BalloonText"/>
    <w:rsid w:val="00B21614"/>
    <w:rPr>
      <w:rFonts w:ascii="Lucida Grande" w:hAnsi="Lucida Grande"/>
      <w:sz w:val="18"/>
      <w:szCs w:val="18"/>
      <w:lang w:val="en-AU"/>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printerSettings" Target="printerSettings/printerSettings1.bin"/><Relationship Id="rId4" Type="http://schemas.openxmlformats.org/officeDocument/2006/relationships/webSettings" Target="webSettings.xml"/><Relationship Id="rId10" Type="http://schemas.openxmlformats.org/officeDocument/2006/relationships/theme" Target="theme/theme1.xml"/><Relationship Id="rId5" Type="http://schemas.openxmlformats.org/officeDocument/2006/relationships/hyperlink" Target="http://axs.ministers.treasury.gov.au/media-release/008-2013/" TargetMode="External"/><Relationship Id="rId7" Type="http://schemas.openxmlformats.org/officeDocument/2006/relationships/footer" Target="footer1.xml"/><Relationship Id="rId1" Type="http://schemas.openxmlformats.org/officeDocument/2006/relationships/numbering" Target="numbering.xml"/><Relationship Id="rId2" Type="http://schemas.openxmlformats.org/officeDocument/2006/relationships/styles" Target="styles.xml"/><Relationship Id="rId9" Type="http://schemas.openxmlformats.org/officeDocument/2006/relationships/fontTable" Target="fontTable.xml"/><Relationship Id="rId3" Type="http://schemas.openxmlformats.org/officeDocument/2006/relationships/settings" Target="settings.xml"/><Relationship Id="rId6"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3851</Words>
  <Characters>21952</Characters>
  <Application>Microsoft Macintosh Word</Application>
  <DocSecurity>0</DocSecurity>
  <Lines>182</Lines>
  <Paragraphs>43</Paragraphs>
  <ScaleCrop>false</ScaleCrop>
  <LinksUpToDate>false</LinksUpToDate>
  <CharactersWithSpaces>26958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Victoria Mansell</dc:creator>
  <cp:keywords/>
  <cp:lastModifiedBy>Victoria Mansell</cp:lastModifiedBy>
  <cp:revision>2</cp:revision>
  <cp:lastPrinted>2014-01-09T01:27:00Z</cp:lastPrinted>
  <dcterms:created xsi:type="dcterms:W3CDTF">2014-03-11T08:05:00Z</dcterms:created>
  <dcterms:modified xsi:type="dcterms:W3CDTF">2014-03-11T08:05:00Z</dcterms:modified>
</cp:coreProperties>
</file>